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60B67881"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sidR="0051436E">
        <w:rPr>
          <w:szCs w:val="24"/>
        </w:rPr>
        <w:t>0443</w:t>
      </w:r>
    </w:p>
    <w:p w14:paraId="13D5D989" w14:textId="77777777" w:rsidR="00FD03BB" w:rsidRPr="00616C8E" w:rsidRDefault="00FD03BB" w:rsidP="00FD03BB">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452EB362" w14:textId="2B7172B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6482D">
        <w:rPr>
          <w:rFonts w:ascii="Times New Roman" w:hAnsi="Times New Roman"/>
          <w:b/>
          <w:bCs/>
          <w:sz w:val="24"/>
          <w:lang w:val="en-US"/>
        </w:rPr>
        <w:t>10.</w:t>
      </w:r>
      <w:r w:rsidR="002B7747">
        <w:rPr>
          <w:rFonts w:ascii="Times New Roman" w:hAnsi="Times New Roman"/>
          <w:b/>
          <w:bCs/>
          <w:sz w:val="24"/>
          <w:lang w:val="en-US"/>
        </w:rPr>
        <w:t>3</w:t>
      </w:r>
      <w:r w:rsidR="0096482D">
        <w:rPr>
          <w:rFonts w:ascii="Times New Roman" w:hAnsi="Times New Roman"/>
          <w:b/>
          <w:bCs/>
          <w:sz w:val="24"/>
          <w:lang w:val="en-US"/>
        </w:rPr>
        <w:t>.</w:t>
      </w:r>
      <w:r w:rsidR="002B7747">
        <w:rPr>
          <w:rFonts w:ascii="Times New Roman" w:hAnsi="Times New Roman"/>
          <w:b/>
          <w:bCs/>
          <w:sz w:val="24"/>
          <w:lang w:val="en-US"/>
        </w:rPr>
        <w:t>2</w:t>
      </w:r>
      <w:r w:rsidR="0096482D">
        <w:rPr>
          <w:rFonts w:ascii="Times New Roman" w:hAnsi="Times New Roman"/>
          <w:b/>
          <w:bCs/>
          <w:sz w:val="24"/>
          <w:lang w:val="en-US"/>
        </w:rPr>
        <w:t>.</w:t>
      </w:r>
      <w:r w:rsidR="002B7747">
        <w:rPr>
          <w:rFonts w:ascii="Times New Roman" w:hAnsi="Times New Roman"/>
          <w:b/>
          <w:bCs/>
          <w:sz w:val="24"/>
          <w:lang w:val="en-US"/>
        </w:rPr>
        <w:t>5</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833C4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AE632B">
        <w:rPr>
          <w:b/>
          <w:bCs/>
          <w:sz w:val="24"/>
          <w:lang w:val="en-US"/>
        </w:rPr>
        <w:t>Multicarrier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88DABE4" w14:textId="77777777" w:rsidR="009C3688" w:rsidRDefault="009C3688" w:rsidP="009C3688">
      <w:pPr>
        <w:pStyle w:val="Doc-text2"/>
        <w:ind w:left="0" w:firstLine="0"/>
      </w:pPr>
    </w:p>
    <w:p w14:paraId="6F94E3F2" w14:textId="4543A325" w:rsidR="00AE632B" w:rsidRPr="00AE632B" w:rsidRDefault="00C56832" w:rsidP="00AE632B">
      <w:pPr>
        <w:rPr>
          <w:lang w:val="en-US"/>
        </w:rPr>
      </w:pPr>
      <w:r>
        <w:rPr>
          <w:lang w:val="en-US"/>
        </w:rPr>
        <w:t xml:space="preserve">RAN2 discussed multicarrier for 6GR in RAN2#132 </w:t>
      </w:r>
      <w:r>
        <w:rPr>
          <w:lang w:val="en-US"/>
        </w:rPr>
        <w:fldChar w:fldCharType="begin"/>
      </w:r>
      <w:r>
        <w:rPr>
          <w:lang w:val="en-US"/>
        </w:rPr>
        <w:instrText xml:space="preserve"> REF _Ref205394856 \r \h </w:instrText>
      </w:r>
      <w:r>
        <w:rPr>
          <w:lang w:val="en-US"/>
        </w:rPr>
      </w:r>
      <w:r>
        <w:rPr>
          <w:lang w:val="en-US"/>
        </w:rPr>
        <w:fldChar w:fldCharType="separate"/>
      </w:r>
      <w:r>
        <w:rPr>
          <w:lang w:val="en-US"/>
        </w:rPr>
        <w:t>[1]</w:t>
      </w:r>
      <w:r>
        <w:rPr>
          <w:lang w:val="en-US"/>
        </w:rPr>
        <w:fldChar w:fldCharType="end"/>
      </w:r>
      <w:r>
        <w:rPr>
          <w:lang w:val="en-US"/>
        </w:rPr>
        <w:t>. Majority of companies believe multicarrier should be discussed separately for IDLE/INACTIVE and CONNECTED due to the different problems and scenarios that are specific to each of these states. In this contribution, we look at multicarrier in power efficient state (e.g., IDLE/INACTIVE) and data transmission state (e.g., CONNECTED) separately.</w:t>
      </w:r>
    </w:p>
    <w:p w14:paraId="38E544A5" w14:textId="13194CD4" w:rsidR="00773F15" w:rsidRDefault="001B7EFB" w:rsidP="00773F15">
      <w:pPr>
        <w:pStyle w:val="Heading1"/>
        <w:pBdr>
          <w:top w:val="single" w:sz="12" w:space="5" w:color="auto"/>
        </w:pBdr>
        <w:spacing w:after="120"/>
      </w:pPr>
      <w:r>
        <w:t>Discussion</w:t>
      </w:r>
    </w:p>
    <w:p w14:paraId="60BC74D1" w14:textId="7B94047E" w:rsidR="00AA78F2" w:rsidRDefault="009C3688" w:rsidP="00AA78F2">
      <w:pPr>
        <w:pStyle w:val="Heading2"/>
        <w:overflowPunct/>
        <w:autoSpaceDE/>
        <w:autoSpaceDN/>
        <w:adjustRightInd/>
        <w:textAlignment w:val="auto"/>
      </w:pPr>
      <w:r>
        <w:t>Multicarrier in IDLE/INACTIVE</w:t>
      </w:r>
    </w:p>
    <w:p w14:paraId="514BBB49" w14:textId="0663AD8A" w:rsidR="008628DC" w:rsidRDefault="00C52793" w:rsidP="008628DC">
      <w:r>
        <w:t xml:space="preserve">In RAN2#132, it was agreed to study further the need to support multicarrier operation in IDLE/INACTIVE. </w:t>
      </w:r>
    </w:p>
    <w:p w14:paraId="48C37A20" w14:textId="77777777" w:rsidR="00C52793" w:rsidRDefault="00C52793" w:rsidP="00C52793">
      <w:pPr>
        <w:pStyle w:val="Doc-text2"/>
      </w:pPr>
    </w:p>
    <w:p w14:paraId="0E31022F" w14:textId="77777777" w:rsidR="00C52793" w:rsidRPr="003958C7" w:rsidRDefault="00C52793" w:rsidP="00C52793">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092D6F6A" w14:textId="77777777" w:rsidR="00C52793" w:rsidRPr="00DB6FC2" w:rsidRDefault="00C52793" w:rsidP="00C52793">
      <w:pPr>
        <w:pStyle w:val="Agreement"/>
        <w:numPr>
          <w:ilvl w:val="0"/>
          <w:numId w:val="13"/>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multicarrier operation in IDLE/INACTIVE (if supported) (carrier(s) for paging and/or system information and/or random access) by taking into account e.g. </w:t>
      </w:r>
      <w:r w:rsidRPr="00FC11DA">
        <w:rPr>
          <w:b w:val="0"/>
          <w:highlight w:val="yellow"/>
        </w:rPr>
        <w:t>latency,  device categories/features, capacity, coverage requirements, UE power consumption/complexity, NW energy saving.</w:t>
      </w:r>
      <w:r w:rsidRPr="00DB6FC2">
        <w:rPr>
          <w:b w:val="0"/>
        </w:rPr>
        <w:t xml:space="preserve">  Close coordination with RAN1/RAN4 is required. </w:t>
      </w:r>
    </w:p>
    <w:p w14:paraId="25192E09" w14:textId="77777777" w:rsidR="00C52793" w:rsidRDefault="00C52793" w:rsidP="008628DC"/>
    <w:p w14:paraId="17AF0F78" w14:textId="7ABC528F" w:rsidR="00C52793" w:rsidRDefault="00C52793" w:rsidP="008628DC">
      <w:r>
        <w:t>There are</w:t>
      </w:r>
      <w:r w:rsidR="00D56E41">
        <w:t xml:space="preserve"> several</w:t>
      </w:r>
      <w:r>
        <w:t xml:space="preserve"> motivations </w:t>
      </w:r>
      <w:r w:rsidR="00D56E41">
        <w:t xml:space="preserve">to support </w:t>
      </w:r>
      <w:r>
        <w:t>multicarrier operation in IDLE/INACTIVE that can be tied to limitations in 5G and/or targets for 6G improvement.</w:t>
      </w:r>
    </w:p>
    <w:p w14:paraId="445F8525" w14:textId="640B08E2" w:rsidR="00C52793" w:rsidRPr="00C52793" w:rsidRDefault="000F0FCD" w:rsidP="008628DC">
      <w:pPr>
        <w:rPr>
          <w:u w:val="single"/>
        </w:rPr>
      </w:pPr>
      <w:r>
        <w:rPr>
          <w:u w:val="single"/>
        </w:rPr>
        <w:t xml:space="preserve">Network Energy Savings </w:t>
      </w:r>
      <w:r w:rsidR="00C52793" w:rsidRPr="00C52793">
        <w:rPr>
          <w:u w:val="single"/>
        </w:rPr>
        <w:t>Motivation</w:t>
      </w:r>
    </w:p>
    <w:p w14:paraId="1098961C" w14:textId="490A2030" w:rsidR="00C52793" w:rsidRDefault="00C52793" w:rsidP="008628DC">
      <w:r>
        <w:t xml:space="preserve">Network energy savings is a big motivator for 6G. Already in 5G, the ability to turn off always on </w:t>
      </w:r>
      <w:r w:rsidR="00D663DA">
        <w:t>signalling</w:t>
      </w:r>
      <w:r>
        <w:t xml:space="preserve"> (e.g., SSB, SIB) at the network </w:t>
      </w:r>
      <w:r w:rsidR="00D663DA">
        <w:t xml:space="preserve">was considered in the operation for on-demand SSB. However, on-demand SSB can only be applied to SCells and not to cells/carriers that are accessed by a UE from IDLE/INACTIVE (i.e., eventual PCell). A </w:t>
      </w:r>
      <w:r w:rsidR="00D56E41">
        <w:t xml:space="preserve">5G </w:t>
      </w:r>
      <w:r w:rsidR="00D663DA">
        <w:t xml:space="preserve">UE in </w:t>
      </w:r>
      <w:r w:rsidR="00D56E41">
        <w:t xml:space="preserve">IDLE/INACTIVE relies on </w:t>
      </w:r>
      <w:r w:rsidR="00D663DA">
        <w:t xml:space="preserve">SSB, SI, and RACH </w:t>
      </w:r>
      <w:r w:rsidR="00D56E41">
        <w:t xml:space="preserve">resources configured in the same </w:t>
      </w:r>
      <w:r w:rsidR="00D663DA">
        <w:t>carrier. Th</w:t>
      </w:r>
      <w:r w:rsidR="009D68E0">
        <w:t>is may prevent th</w:t>
      </w:r>
      <w:r w:rsidR="00D663DA">
        <w:t xml:space="preserve">e network </w:t>
      </w:r>
      <w:r w:rsidR="009D68E0">
        <w:t xml:space="preserve">from </w:t>
      </w:r>
      <w:r w:rsidR="00D663DA">
        <w:t>turn</w:t>
      </w:r>
      <w:r w:rsidR="009D68E0">
        <w:t>ing</w:t>
      </w:r>
      <w:r w:rsidR="00D663DA">
        <w:t xml:space="preserve"> off such carriers, for example, </w:t>
      </w:r>
      <w:r w:rsidR="009D68E0">
        <w:t xml:space="preserve">even </w:t>
      </w:r>
      <w:r w:rsidR="00D663DA">
        <w:t xml:space="preserve">during periods of low UE load in an area.  </w:t>
      </w:r>
    </w:p>
    <w:p w14:paraId="74733124" w14:textId="5F7BB86E" w:rsidR="00E35F33" w:rsidRDefault="00E35F33" w:rsidP="00E35F33">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00007C23">
        <w:rPr>
          <w:rFonts w:ascii="Times New Roman" w:hAnsi="Times New Roman"/>
          <w:sz w:val="22"/>
          <w:szCs w:val="22"/>
          <w:u w:val="single"/>
        </w:rPr>
        <w:t>a</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E47B11" w:rsidRPr="00007C23">
        <w:rPr>
          <w:rFonts w:ascii="Times New Roman" w:hAnsi="Times New Roman"/>
          <w:b w:val="0"/>
          <w:bCs w:val="0"/>
          <w:i/>
          <w:iCs/>
          <w:color w:val="000000"/>
          <w:sz w:val="22"/>
          <w:szCs w:val="22"/>
          <w:u w:val="single"/>
          <w:lang w:eastAsia="ko-KR"/>
        </w:rPr>
        <w:t>Lesson</w:t>
      </w:r>
      <w:r w:rsidR="00B47318" w:rsidRPr="00007C23">
        <w:rPr>
          <w:rFonts w:ascii="Times New Roman" w:hAnsi="Times New Roman"/>
          <w:b w:val="0"/>
          <w:bCs w:val="0"/>
          <w:i/>
          <w:iCs/>
          <w:color w:val="000000"/>
          <w:sz w:val="22"/>
          <w:szCs w:val="22"/>
          <w:u w:val="single"/>
          <w:lang w:eastAsia="ko-KR"/>
        </w:rPr>
        <w:t xml:space="preserve"> learned from 5G</w:t>
      </w:r>
      <w:r w:rsidR="00D646B2" w:rsidRPr="00007C23">
        <w:rPr>
          <w:rFonts w:ascii="Times New Roman" w:hAnsi="Times New Roman"/>
          <w:b w:val="0"/>
          <w:bCs w:val="0"/>
          <w:i/>
          <w:iCs/>
          <w:color w:val="000000"/>
          <w:sz w:val="22"/>
          <w:szCs w:val="22"/>
          <w:u w:val="single"/>
          <w:lang w:eastAsia="ko-KR"/>
        </w:rPr>
        <w:t>:</w:t>
      </w:r>
      <w:r w:rsidR="00A91DA3">
        <w:rPr>
          <w:rFonts w:ascii="Times New Roman" w:hAnsi="Times New Roman"/>
          <w:b w:val="0"/>
          <w:bCs w:val="0"/>
          <w:i/>
          <w:iCs/>
          <w:color w:val="000000"/>
          <w:sz w:val="22"/>
          <w:szCs w:val="22"/>
          <w:lang w:eastAsia="ko-KR"/>
        </w:rPr>
        <w:t xml:space="preserve"> The design of IDLE/INACTIVE in </w:t>
      </w:r>
      <w:r w:rsidR="00674870">
        <w:rPr>
          <w:rFonts w:ascii="Times New Roman" w:hAnsi="Times New Roman"/>
          <w:b w:val="0"/>
          <w:bCs w:val="0"/>
          <w:i/>
          <w:iCs/>
          <w:color w:val="000000"/>
          <w:sz w:val="22"/>
          <w:szCs w:val="22"/>
          <w:lang w:eastAsia="ko-KR"/>
        </w:rPr>
        <w:t>5G limits network energy savings</w:t>
      </w:r>
      <w:r w:rsidR="00D51294">
        <w:rPr>
          <w:rFonts w:ascii="Times New Roman" w:hAnsi="Times New Roman"/>
          <w:b w:val="0"/>
          <w:bCs w:val="0"/>
          <w:i/>
          <w:iCs/>
          <w:color w:val="000000"/>
          <w:sz w:val="22"/>
          <w:szCs w:val="22"/>
          <w:lang w:eastAsia="ko-KR"/>
        </w:rPr>
        <w:t xml:space="preserve"> </w:t>
      </w:r>
      <w:r w:rsidR="00156C71">
        <w:rPr>
          <w:rFonts w:ascii="Times New Roman" w:hAnsi="Times New Roman"/>
          <w:b w:val="0"/>
          <w:bCs w:val="0"/>
          <w:i/>
          <w:iCs/>
          <w:color w:val="000000"/>
          <w:sz w:val="22"/>
          <w:szCs w:val="22"/>
          <w:lang w:eastAsia="ko-KR"/>
        </w:rPr>
        <w:t>potential (e.g., on-demand SSB cannot be a</w:t>
      </w:r>
      <w:r w:rsidR="00AA4CBA">
        <w:rPr>
          <w:rFonts w:ascii="Times New Roman" w:hAnsi="Times New Roman"/>
          <w:b w:val="0"/>
          <w:bCs w:val="0"/>
          <w:i/>
          <w:iCs/>
          <w:color w:val="000000"/>
          <w:sz w:val="22"/>
          <w:szCs w:val="22"/>
          <w:lang w:eastAsia="ko-KR"/>
        </w:rPr>
        <w:t>pplied to</w:t>
      </w:r>
      <w:r w:rsidR="002F3061">
        <w:rPr>
          <w:rFonts w:ascii="Times New Roman" w:hAnsi="Times New Roman"/>
          <w:b w:val="0"/>
          <w:bCs w:val="0"/>
          <w:i/>
          <w:iCs/>
          <w:color w:val="000000"/>
          <w:sz w:val="22"/>
          <w:szCs w:val="22"/>
          <w:lang w:eastAsia="ko-KR"/>
        </w:rPr>
        <w:t xml:space="preserve"> cells intended to be</w:t>
      </w:r>
      <w:r w:rsidR="00AA4CBA">
        <w:rPr>
          <w:rFonts w:ascii="Times New Roman" w:hAnsi="Times New Roman"/>
          <w:b w:val="0"/>
          <w:bCs w:val="0"/>
          <w:i/>
          <w:iCs/>
          <w:color w:val="000000"/>
          <w:sz w:val="22"/>
          <w:szCs w:val="22"/>
          <w:lang w:eastAsia="ko-KR"/>
        </w:rPr>
        <w:t xml:space="preserve"> PCell</w:t>
      </w:r>
      <w:r w:rsidR="00D56E41">
        <w:rPr>
          <w:rFonts w:ascii="Times New Roman" w:hAnsi="Times New Roman"/>
          <w:b w:val="0"/>
          <w:bCs w:val="0"/>
          <w:i/>
          <w:iCs/>
          <w:color w:val="000000"/>
          <w:sz w:val="22"/>
          <w:szCs w:val="22"/>
          <w:lang w:eastAsia="ko-KR"/>
        </w:rPr>
        <w:t>s</w:t>
      </w:r>
      <w:r w:rsidR="00AA4CBA">
        <w:rPr>
          <w:rFonts w:ascii="Times New Roman" w:hAnsi="Times New Roman"/>
          <w:b w:val="0"/>
          <w:bCs w:val="0"/>
          <w:i/>
          <w:iCs/>
          <w:color w:val="000000"/>
          <w:sz w:val="22"/>
          <w:szCs w:val="22"/>
          <w:lang w:eastAsia="ko-KR"/>
        </w:rPr>
        <w:t>, each carrier/cell has to broadcast all access related information, etc).</w:t>
      </w:r>
      <w:r w:rsidR="00674870">
        <w:rPr>
          <w:rFonts w:ascii="Times New Roman" w:hAnsi="Times New Roman"/>
          <w:b w:val="0"/>
          <w:bCs w:val="0"/>
          <w:i/>
          <w:iCs/>
          <w:color w:val="000000"/>
          <w:sz w:val="22"/>
          <w:szCs w:val="22"/>
          <w:lang w:eastAsia="ko-KR"/>
        </w:rPr>
        <w:t xml:space="preserve"> </w:t>
      </w:r>
      <w:r w:rsidR="00D646B2">
        <w:rPr>
          <w:rFonts w:ascii="Times New Roman" w:hAnsi="Times New Roman"/>
          <w:b w:val="0"/>
          <w:bCs w:val="0"/>
          <w:i/>
          <w:iCs/>
          <w:color w:val="000000"/>
          <w:sz w:val="22"/>
          <w:szCs w:val="22"/>
          <w:lang w:eastAsia="ko-KR"/>
        </w:rPr>
        <w:t xml:space="preserve"> </w:t>
      </w:r>
      <w:r w:rsidR="00AF7B16">
        <w:rPr>
          <w:rFonts w:ascii="Times New Roman" w:hAnsi="Times New Roman"/>
          <w:b w:val="0"/>
          <w:bCs w:val="0"/>
          <w:i/>
          <w:iCs/>
          <w:color w:val="000000"/>
          <w:sz w:val="22"/>
          <w:szCs w:val="22"/>
          <w:lang w:eastAsia="ko-KR"/>
        </w:rPr>
        <w:t xml:space="preserve"> </w:t>
      </w:r>
    </w:p>
    <w:p w14:paraId="0BEA9035" w14:textId="4F2EA50C" w:rsidR="00654804" w:rsidRDefault="00654804" w:rsidP="0065480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007C23">
        <w:rPr>
          <w:rFonts w:ascii="Times New Roman" w:hAnsi="Times New Roman"/>
          <w:sz w:val="22"/>
          <w:szCs w:val="22"/>
          <w:u w:val="single"/>
        </w:rPr>
        <w:t>1b</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Multicarrier operation in IDLE/INACTIVE provides new opportunities for network energy savings in 6G by allowing the network to turn off transmissions (e.g., SSB) on carriers that are normally used for access.    </w:t>
      </w:r>
    </w:p>
    <w:p w14:paraId="278E10A0" w14:textId="77777777" w:rsidR="00D646B2" w:rsidRDefault="00D646B2" w:rsidP="007C3CFC">
      <w:pPr>
        <w:pStyle w:val="Observation"/>
        <w:tabs>
          <w:tab w:val="clear" w:pos="1304"/>
          <w:tab w:val="clear" w:pos="1701"/>
        </w:tabs>
        <w:ind w:left="1701" w:hanging="1701"/>
        <w:rPr>
          <w:rFonts w:ascii="Times New Roman" w:hAnsi="Times New Roman"/>
          <w:sz w:val="22"/>
          <w:szCs w:val="22"/>
          <w:u w:val="single"/>
        </w:rPr>
      </w:pPr>
    </w:p>
    <w:p w14:paraId="6E19CED0" w14:textId="12089AD9" w:rsidR="00007C23" w:rsidRPr="00C52793" w:rsidRDefault="00007C23" w:rsidP="00007C23">
      <w:pPr>
        <w:rPr>
          <w:u w:val="single"/>
        </w:rPr>
      </w:pPr>
      <w:r>
        <w:rPr>
          <w:u w:val="single"/>
        </w:rPr>
        <w:t>Latency, Capacity, Coverage Requirements</w:t>
      </w:r>
      <w:r w:rsidR="00FC11DA">
        <w:rPr>
          <w:u w:val="single"/>
        </w:rPr>
        <w:t>, and power savings at the UE</w:t>
      </w:r>
    </w:p>
    <w:p w14:paraId="099AF09C" w14:textId="6603C348" w:rsidR="00FC11DA" w:rsidRDefault="00007C23" w:rsidP="00654804">
      <w:r>
        <w:t xml:space="preserve">A very common network strategy is to deploy a coverage layer of cells/carriers on which a UE can access starting from IDLE/INACTIVE state and then enable higher capacity </w:t>
      </w:r>
      <w:r w:rsidR="009D68E0">
        <w:t xml:space="preserve">to </w:t>
      </w:r>
      <w:r>
        <w:t xml:space="preserve">the UE either by a handover to a </w:t>
      </w:r>
      <w:r>
        <w:lastRenderedPageBreak/>
        <w:t>capacity cell (e.g., on FR2), or by configuring CA with SCells</w:t>
      </w:r>
      <w:r w:rsidR="008E6ACF">
        <w:t>. This strategy allows the network to turn off SCell transmissions when they are not needed and therefore has been used in 5G as a network energy saving strategy. However,</w:t>
      </w:r>
      <w:r w:rsidR="000C0491">
        <w:t xml:space="preserve"> the disadvantage is a larger latency </w:t>
      </w:r>
      <w:r w:rsidR="00FC11DA">
        <w:t xml:space="preserve">(HO and/or SCell activation/configuration) </w:t>
      </w:r>
      <w:r w:rsidR="000C0491">
        <w:t>for the UE in transitioning between a power efficient state (e.g., RRC_INACTIVE) and a data transmission state, particularly UEs with high data requirements.</w:t>
      </w:r>
      <w:r w:rsidR="00FC11DA">
        <w:t xml:space="preserve"> In addition, it may make the network less inclined to use a power savings state more aggressively with certain UEs that have strict latency requirements tied to large data rates (e.g., XR).</w:t>
      </w:r>
    </w:p>
    <w:p w14:paraId="227DD5B8" w14:textId="3F80A637" w:rsidR="00654804" w:rsidRDefault="00FC11DA" w:rsidP="00654804">
      <w:r>
        <w:t>In multicarrier support of IDLE/INACTIVE, a UE may directly access the capacity layer when needed. Latency associated with configuring carrier aggregation when coming out of a power savings state can be reduced, and the network can use such state more aggressively with high capability UEs.</w:t>
      </w:r>
      <w:r w:rsidR="008E6ACF">
        <w:t xml:space="preserve">  </w:t>
      </w:r>
      <w:r w:rsidR="00007C23">
        <w:t xml:space="preserve"> </w:t>
      </w:r>
    </w:p>
    <w:p w14:paraId="03A1BA77" w14:textId="7591C1D6" w:rsidR="00FC11DA" w:rsidRDefault="004E3A50" w:rsidP="004E3A50">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00FC11DA">
        <w:rPr>
          <w:rFonts w:ascii="Times New Roman" w:hAnsi="Times New Roman"/>
          <w:sz w:val="22"/>
          <w:szCs w:val="22"/>
          <w:u w:val="single"/>
        </w:rPr>
        <w:t>a</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508DE">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xml:space="preserve"> The design of </w:t>
      </w:r>
      <w:r w:rsidR="00255632">
        <w:rPr>
          <w:rFonts w:ascii="Times New Roman" w:hAnsi="Times New Roman"/>
          <w:b w:val="0"/>
          <w:bCs w:val="0"/>
          <w:i/>
          <w:iCs/>
          <w:color w:val="000000"/>
          <w:sz w:val="22"/>
          <w:szCs w:val="22"/>
          <w:lang w:eastAsia="ko-KR"/>
        </w:rPr>
        <w:t xml:space="preserve">IDLE/INACTIVE in 5G </w:t>
      </w:r>
      <w:r w:rsidR="00CF565A">
        <w:rPr>
          <w:rFonts w:ascii="Times New Roman" w:hAnsi="Times New Roman"/>
          <w:b w:val="0"/>
          <w:bCs w:val="0"/>
          <w:i/>
          <w:iCs/>
          <w:color w:val="000000"/>
          <w:sz w:val="22"/>
          <w:szCs w:val="22"/>
          <w:lang w:eastAsia="ko-KR"/>
        </w:rPr>
        <w:t xml:space="preserve">often results in </w:t>
      </w:r>
      <w:r w:rsidR="00FC11DA">
        <w:rPr>
          <w:rFonts w:ascii="Times New Roman" w:hAnsi="Times New Roman"/>
          <w:b w:val="0"/>
          <w:bCs w:val="0"/>
          <w:i/>
          <w:iCs/>
          <w:color w:val="000000"/>
          <w:sz w:val="22"/>
          <w:szCs w:val="22"/>
          <w:lang w:eastAsia="ko-KR"/>
        </w:rPr>
        <w:t xml:space="preserve">unnecessary </w:t>
      </w:r>
      <w:r w:rsidR="00CA523A">
        <w:rPr>
          <w:rFonts w:ascii="Times New Roman" w:hAnsi="Times New Roman"/>
          <w:b w:val="0"/>
          <w:bCs w:val="0"/>
          <w:i/>
          <w:iCs/>
          <w:color w:val="000000"/>
          <w:sz w:val="22"/>
          <w:szCs w:val="22"/>
          <w:lang w:eastAsia="ko-KR"/>
        </w:rPr>
        <w:t>latency</w:t>
      </w:r>
      <w:r w:rsidR="00D7235C">
        <w:rPr>
          <w:rFonts w:ascii="Times New Roman" w:hAnsi="Times New Roman"/>
          <w:b w:val="0"/>
          <w:bCs w:val="0"/>
          <w:i/>
          <w:iCs/>
          <w:color w:val="000000"/>
          <w:sz w:val="22"/>
          <w:szCs w:val="22"/>
          <w:lang w:eastAsia="ko-KR"/>
        </w:rPr>
        <w:t>,</w:t>
      </w:r>
      <w:r w:rsidR="00CA523A">
        <w:rPr>
          <w:rFonts w:ascii="Times New Roman" w:hAnsi="Times New Roman"/>
          <w:b w:val="0"/>
          <w:bCs w:val="0"/>
          <w:i/>
          <w:iCs/>
          <w:color w:val="000000"/>
          <w:sz w:val="22"/>
          <w:szCs w:val="22"/>
          <w:lang w:eastAsia="ko-KR"/>
        </w:rPr>
        <w:t xml:space="preserve"> signalling overhead</w:t>
      </w:r>
      <w:r w:rsidR="00D7235C">
        <w:rPr>
          <w:rFonts w:ascii="Times New Roman" w:hAnsi="Times New Roman"/>
          <w:b w:val="0"/>
          <w:bCs w:val="0"/>
          <w:i/>
          <w:iCs/>
          <w:color w:val="000000"/>
          <w:sz w:val="22"/>
          <w:szCs w:val="22"/>
          <w:lang w:eastAsia="ko-KR"/>
        </w:rPr>
        <w:t>, and power consumption</w:t>
      </w:r>
      <w:r w:rsidR="00CA523A">
        <w:rPr>
          <w:rFonts w:ascii="Times New Roman" w:hAnsi="Times New Roman"/>
          <w:b w:val="0"/>
          <w:bCs w:val="0"/>
          <w:i/>
          <w:iCs/>
          <w:color w:val="000000"/>
          <w:sz w:val="22"/>
          <w:szCs w:val="22"/>
          <w:lang w:eastAsia="ko-KR"/>
        </w:rPr>
        <w:t xml:space="preserve"> </w:t>
      </w:r>
      <w:r w:rsidR="00FC11DA">
        <w:rPr>
          <w:rFonts w:ascii="Times New Roman" w:hAnsi="Times New Roman"/>
          <w:b w:val="0"/>
          <w:bCs w:val="0"/>
          <w:i/>
          <w:iCs/>
          <w:color w:val="000000"/>
          <w:sz w:val="22"/>
          <w:szCs w:val="22"/>
          <w:lang w:eastAsia="ko-KR"/>
        </w:rPr>
        <w:t xml:space="preserve">for </w:t>
      </w:r>
      <w:r w:rsidR="00F82F5E">
        <w:rPr>
          <w:rFonts w:ascii="Times New Roman" w:hAnsi="Times New Roman"/>
          <w:b w:val="0"/>
          <w:bCs w:val="0"/>
          <w:i/>
          <w:iCs/>
          <w:color w:val="000000"/>
          <w:sz w:val="22"/>
          <w:szCs w:val="22"/>
          <w:lang w:eastAsia="ko-KR"/>
        </w:rPr>
        <w:t xml:space="preserve">eMBB UEs </w:t>
      </w:r>
      <w:r w:rsidR="00FC11DA">
        <w:rPr>
          <w:rFonts w:ascii="Times New Roman" w:hAnsi="Times New Roman"/>
          <w:b w:val="0"/>
          <w:bCs w:val="0"/>
          <w:i/>
          <w:iCs/>
          <w:color w:val="000000"/>
          <w:sz w:val="22"/>
          <w:szCs w:val="22"/>
          <w:lang w:eastAsia="ko-KR"/>
        </w:rPr>
        <w:t xml:space="preserve">during state </w:t>
      </w:r>
      <w:r w:rsidR="00875E4C">
        <w:rPr>
          <w:rFonts w:ascii="Times New Roman" w:hAnsi="Times New Roman"/>
          <w:b w:val="0"/>
          <w:bCs w:val="0"/>
          <w:i/>
          <w:iCs/>
          <w:color w:val="000000"/>
          <w:sz w:val="22"/>
          <w:szCs w:val="22"/>
          <w:lang w:eastAsia="ko-KR"/>
        </w:rPr>
        <w:t>change due to transition between coverage and capacity layers</w:t>
      </w:r>
      <w:r w:rsidR="00F82F5E">
        <w:rPr>
          <w:rFonts w:ascii="Times New Roman" w:hAnsi="Times New Roman"/>
          <w:b w:val="0"/>
          <w:bCs w:val="0"/>
          <w:i/>
          <w:iCs/>
          <w:color w:val="000000"/>
          <w:sz w:val="22"/>
          <w:szCs w:val="22"/>
          <w:lang w:eastAsia="ko-KR"/>
        </w:rPr>
        <w:t>.</w:t>
      </w:r>
    </w:p>
    <w:p w14:paraId="0288D145" w14:textId="12E185E8" w:rsidR="00FC11DA" w:rsidRDefault="00FC11DA" w:rsidP="00FC11DA">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2b</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Multicarrier operation can achieve capacity requirements at a UE with lower latency (i.e., direct access to capacity </w:t>
      </w:r>
      <w:r w:rsidR="00696511">
        <w:rPr>
          <w:rFonts w:ascii="Times New Roman" w:hAnsi="Times New Roman"/>
          <w:b w:val="0"/>
          <w:bCs w:val="0"/>
          <w:i/>
          <w:iCs/>
          <w:color w:val="000000"/>
          <w:sz w:val="22"/>
          <w:szCs w:val="22"/>
          <w:lang w:eastAsia="ko-KR"/>
        </w:rPr>
        <w:t>carrier, CA</w:t>
      </w:r>
      <w:r>
        <w:rPr>
          <w:rFonts w:ascii="Times New Roman" w:hAnsi="Times New Roman"/>
          <w:b w:val="0"/>
          <w:bCs w:val="0"/>
          <w:i/>
          <w:iCs/>
          <w:color w:val="000000"/>
          <w:sz w:val="22"/>
          <w:szCs w:val="22"/>
          <w:lang w:eastAsia="ko-KR"/>
        </w:rPr>
        <w:t>) and lower power consumption (i.e., more opportunities to use a power savings state at the UE).</w:t>
      </w:r>
    </w:p>
    <w:p w14:paraId="52C08F29" w14:textId="5B771D09" w:rsidR="004E3A50" w:rsidRDefault="00CA523A" w:rsidP="004E3A50">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Pr>
          <w:rFonts w:ascii="Times New Roman" w:hAnsi="Times New Roman"/>
          <w:b w:val="0"/>
          <w:bCs w:val="0"/>
          <w:i/>
          <w:iCs/>
          <w:color w:val="000000"/>
          <w:sz w:val="22"/>
          <w:szCs w:val="22"/>
          <w:lang w:eastAsia="ko-KR"/>
        </w:rPr>
        <w:t xml:space="preserve"> </w:t>
      </w:r>
      <w:r w:rsidR="004E3A50">
        <w:rPr>
          <w:rFonts w:ascii="Times New Roman" w:hAnsi="Times New Roman"/>
          <w:b w:val="0"/>
          <w:bCs w:val="0"/>
          <w:i/>
          <w:iCs/>
          <w:color w:val="000000"/>
          <w:sz w:val="22"/>
          <w:szCs w:val="22"/>
          <w:lang w:eastAsia="ko-KR"/>
        </w:rPr>
        <w:t xml:space="preserve">  </w:t>
      </w:r>
    </w:p>
    <w:p w14:paraId="184595EF" w14:textId="1F7065D0" w:rsidR="00FC11DA" w:rsidRDefault="00FC11DA" w:rsidP="00FC11DA">
      <w:pPr>
        <w:rPr>
          <w:u w:val="single"/>
        </w:rPr>
      </w:pPr>
      <w:r>
        <w:rPr>
          <w:u w:val="single"/>
        </w:rPr>
        <w:t>Device Categories and Features</w:t>
      </w:r>
    </w:p>
    <w:p w14:paraId="0E28F194" w14:textId="77777777" w:rsidR="00BD40ED" w:rsidRDefault="00DC2243" w:rsidP="00FC11DA">
      <w:r>
        <w:t xml:space="preserve">Another driver for 6G is to achieve straightforward and unified support for different device categories and features. Specifically, </w:t>
      </w:r>
      <w:r w:rsidR="00BD40ED">
        <w:t>procedures such as paging, random access, etc., as well as resources set aside for these procedures (e.g., RACH resources) should be configured and performed in (as much as possible) the same way.</w:t>
      </w:r>
    </w:p>
    <w:p w14:paraId="6E7049C7" w14:textId="40134A00" w:rsidR="00DC2243" w:rsidRPr="00DC2243" w:rsidRDefault="00BD40ED" w:rsidP="00FC11DA">
      <w:r>
        <w:t xml:space="preserve">If such is the case, resource efficiency may be significantly limited if access is to be supported with a single carrier. Take paging for example. Paging for IOT devices may be very different compared to paging for eMBB devices due to the need to support multiple repetitions and/or different cell/carrier bandwidth. Separating the paging on different carriers while supporting the same multicarrier paging procedure would result in a more efficient use of resources compared to paging all device types on the same carrier.  </w:t>
      </w:r>
      <w:r w:rsidR="00DC2243">
        <w:t xml:space="preserve">  </w:t>
      </w:r>
    </w:p>
    <w:p w14:paraId="016D006F" w14:textId="6F97E9FD" w:rsidR="00F32188" w:rsidRDefault="00F32188" w:rsidP="00F32188">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00EC216B">
        <w:rPr>
          <w:rFonts w:ascii="Times New Roman" w:hAnsi="Times New Roman"/>
          <w:sz w:val="22"/>
          <w:szCs w:val="22"/>
          <w:u w:val="single"/>
        </w:rPr>
        <w:t>a</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D56E41">
        <w:rPr>
          <w:rFonts w:ascii="Times New Roman" w:hAnsi="Times New Roman"/>
          <w:b w:val="0"/>
          <w:bCs w:val="0"/>
          <w:i/>
          <w:iCs/>
          <w:color w:val="000000"/>
          <w:sz w:val="22"/>
          <w:szCs w:val="22"/>
          <w:u w:val="single"/>
          <w:lang w:eastAsia="ko-KR"/>
        </w:rPr>
        <w:t>Lesson learned from 5G:</w:t>
      </w:r>
      <w:r w:rsidR="00D56E41" w:rsidRPr="00D56E41">
        <w:rPr>
          <w:rFonts w:ascii="Times New Roman" w:hAnsi="Times New Roman"/>
          <w:b w:val="0"/>
          <w:bCs w:val="0"/>
          <w:i/>
          <w:iCs/>
          <w:color w:val="000000"/>
          <w:sz w:val="22"/>
          <w:szCs w:val="22"/>
          <w:lang w:eastAsia="ko-KR"/>
        </w:rPr>
        <w:t xml:space="preserve"> </w:t>
      </w:r>
      <w:r w:rsidR="001924C7">
        <w:rPr>
          <w:rFonts w:ascii="Times New Roman" w:hAnsi="Times New Roman"/>
          <w:b w:val="0"/>
          <w:bCs w:val="0"/>
          <w:i/>
          <w:iCs/>
          <w:color w:val="000000"/>
          <w:sz w:val="22"/>
          <w:szCs w:val="22"/>
          <w:lang w:eastAsia="ko-KR"/>
        </w:rPr>
        <w:t xml:space="preserve">IDLE/INACTIVE in 5G </w:t>
      </w:r>
      <w:r w:rsidR="00AA4CBA">
        <w:rPr>
          <w:rFonts w:ascii="Times New Roman" w:hAnsi="Times New Roman"/>
          <w:b w:val="0"/>
          <w:bCs w:val="0"/>
          <w:i/>
          <w:iCs/>
          <w:color w:val="000000"/>
          <w:sz w:val="22"/>
          <w:szCs w:val="22"/>
          <w:lang w:eastAsia="ko-KR"/>
        </w:rPr>
        <w:t>does not</w:t>
      </w:r>
      <w:r w:rsidR="00A619FF">
        <w:rPr>
          <w:rFonts w:ascii="Times New Roman" w:hAnsi="Times New Roman"/>
          <w:b w:val="0"/>
          <w:bCs w:val="0"/>
          <w:i/>
          <w:iCs/>
          <w:color w:val="000000"/>
          <w:sz w:val="22"/>
          <w:szCs w:val="22"/>
          <w:lang w:eastAsia="ko-KR"/>
        </w:rPr>
        <w:t xml:space="preserve"> support multiple device categories in a </w:t>
      </w:r>
      <w:r w:rsidR="007112AF">
        <w:rPr>
          <w:rFonts w:ascii="Times New Roman" w:hAnsi="Times New Roman"/>
          <w:b w:val="0"/>
          <w:bCs w:val="0"/>
          <w:i/>
          <w:iCs/>
          <w:color w:val="000000"/>
          <w:sz w:val="22"/>
          <w:szCs w:val="22"/>
          <w:lang w:eastAsia="ko-KR"/>
        </w:rPr>
        <w:t xml:space="preserve">resource </w:t>
      </w:r>
      <w:r w:rsidR="00D56E41">
        <w:rPr>
          <w:rFonts w:ascii="Times New Roman" w:hAnsi="Times New Roman"/>
          <w:b w:val="0"/>
          <w:bCs w:val="0"/>
          <w:i/>
          <w:iCs/>
          <w:color w:val="000000"/>
          <w:sz w:val="22"/>
          <w:szCs w:val="22"/>
          <w:lang w:eastAsia="ko-KR"/>
        </w:rPr>
        <w:t xml:space="preserve">(e.g., paging, RACH) </w:t>
      </w:r>
      <w:r w:rsidR="00A619FF">
        <w:rPr>
          <w:rFonts w:ascii="Times New Roman" w:hAnsi="Times New Roman"/>
          <w:b w:val="0"/>
          <w:bCs w:val="0"/>
          <w:i/>
          <w:iCs/>
          <w:color w:val="000000"/>
          <w:sz w:val="22"/>
          <w:szCs w:val="22"/>
          <w:lang w:eastAsia="ko-KR"/>
        </w:rPr>
        <w:t>efficient way</w:t>
      </w:r>
      <w:r w:rsidR="007112AF">
        <w:rPr>
          <w:rFonts w:ascii="Times New Roman" w:hAnsi="Times New Roman"/>
          <w:b w:val="0"/>
          <w:bCs w:val="0"/>
          <w:i/>
          <w:iCs/>
          <w:color w:val="000000"/>
          <w:sz w:val="22"/>
          <w:szCs w:val="22"/>
          <w:lang w:eastAsia="ko-KR"/>
        </w:rPr>
        <w:t>.</w:t>
      </w:r>
      <w:r>
        <w:rPr>
          <w:rFonts w:ascii="Times New Roman" w:hAnsi="Times New Roman"/>
          <w:b w:val="0"/>
          <w:bCs w:val="0"/>
          <w:i/>
          <w:iCs/>
          <w:color w:val="000000"/>
          <w:sz w:val="22"/>
          <w:szCs w:val="22"/>
          <w:lang w:eastAsia="ko-KR"/>
        </w:rPr>
        <w:t xml:space="preserve">  </w:t>
      </w:r>
    </w:p>
    <w:p w14:paraId="35BD346C" w14:textId="3FCBE669" w:rsidR="00EC216B" w:rsidRDefault="00EC216B" w:rsidP="00EC216B">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3b</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Multicarrier operation can achieve more efficient use of resources (e.g., paging, </w:t>
      </w:r>
      <w:r w:rsidR="008C5949">
        <w:rPr>
          <w:rFonts w:ascii="Times New Roman" w:hAnsi="Times New Roman"/>
          <w:b w:val="0"/>
          <w:bCs w:val="0"/>
          <w:i/>
          <w:iCs/>
          <w:color w:val="000000"/>
          <w:sz w:val="22"/>
          <w:szCs w:val="22"/>
          <w:lang w:eastAsia="ko-KR"/>
        </w:rPr>
        <w:t>RACH</w:t>
      </w:r>
      <w:r>
        <w:rPr>
          <w:rFonts w:ascii="Times New Roman" w:hAnsi="Times New Roman"/>
          <w:b w:val="0"/>
          <w:bCs w:val="0"/>
          <w:i/>
          <w:iCs/>
          <w:color w:val="000000"/>
          <w:sz w:val="22"/>
          <w:szCs w:val="22"/>
          <w:lang w:eastAsia="ko-KR"/>
        </w:rPr>
        <w:t xml:space="preserve">) when trying to design an access procedure that is common to all device categories. </w:t>
      </w:r>
    </w:p>
    <w:p w14:paraId="558D1C0E" w14:textId="28BDEC72" w:rsidR="00220F3E" w:rsidRDefault="00FF55FE" w:rsidP="00FF55FE">
      <w:r>
        <w:t xml:space="preserve">From the above observations, there seems </w:t>
      </w:r>
      <w:r w:rsidR="004E56FB">
        <w:t xml:space="preserve">to be </w:t>
      </w:r>
      <w:r>
        <w:t>sufficient motivation to study multi-carrier operation for 6G. For support of multi-carrier, SSB, SI, paging, and random</w:t>
      </w:r>
      <w:r w:rsidR="00951C54">
        <w:t>-</w:t>
      </w:r>
      <w:r>
        <w:t>access procedure</w:t>
      </w:r>
      <w:r w:rsidR="004E56FB">
        <w:t>s</w:t>
      </w:r>
      <w:r>
        <w:t xml:space="preserve"> should be revisited in the context of visibility, by the UE, of multiple carriers/cells. Contrary to 5G, each carrier/cell may have a different role in the access procedure. While RAN1 can focus on how SSB is transmitted in the context of </w:t>
      </w:r>
      <w:r w:rsidR="00220F3E">
        <w:t xml:space="preserve">IDLE/INACTIVE multicarrier, RAN2 can start study on the other procedures in parallel. </w:t>
      </w:r>
      <w:r w:rsidR="008C5949">
        <w:t>Specifically</w:t>
      </w:r>
      <w:r w:rsidR="00220F3E">
        <w:t>, RAN1 has already started studying sync-less carriers for all RRC states</w:t>
      </w:r>
      <w:r w:rsidR="008C5949">
        <w:t xml:space="preserve"> </w:t>
      </w:r>
      <w:r w:rsidR="008C5949">
        <w:fldChar w:fldCharType="begin"/>
      </w:r>
      <w:r w:rsidR="008C5949">
        <w:instrText xml:space="preserve"> REF _Ref220604728 \r \h </w:instrText>
      </w:r>
      <w:r w:rsidR="008C5949">
        <w:fldChar w:fldCharType="separate"/>
      </w:r>
      <w:r w:rsidR="008C5949">
        <w:t>[2]</w:t>
      </w:r>
      <w:r w:rsidR="008C5949">
        <w:fldChar w:fldCharType="end"/>
      </w:r>
      <w:r w:rsidR="00220F3E">
        <w:t xml:space="preserve">. </w:t>
      </w:r>
    </w:p>
    <w:tbl>
      <w:tblPr>
        <w:tblStyle w:val="TableGrid"/>
        <w:tblW w:w="0" w:type="auto"/>
        <w:tblLook w:val="04A0" w:firstRow="1" w:lastRow="0" w:firstColumn="1" w:lastColumn="0" w:noHBand="0" w:noVBand="1"/>
      </w:tblPr>
      <w:tblGrid>
        <w:gridCol w:w="9629"/>
      </w:tblGrid>
      <w:tr w:rsidR="00220F3E" w14:paraId="20BDA194" w14:textId="77777777" w:rsidTr="00220F3E">
        <w:tc>
          <w:tcPr>
            <w:tcW w:w="9629" w:type="dxa"/>
          </w:tcPr>
          <w:p w14:paraId="4C5DA098" w14:textId="77777777" w:rsidR="00220F3E" w:rsidRPr="000379E2" w:rsidRDefault="00220F3E" w:rsidP="00220F3E">
            <w:pPr>
              <w:rPr>
                <w:lang w:val="en-US"/>
              </w:rPr>
            </w:pPr>
            <w:r w:rsidRPr="000379E2">
              <w:rPr>
                <w:i/>
                <w:iCs/>
                <w:lang w:val="en-US"/>
              </w:rPr>
              <w:t>Study and evaluate multi-carrier/cells/TRPs mechanisms for 6GR NES, considering, e.g.,:</w:t>
            </w:r>
          </w:p>
          <w:p w14:paraId="3EE6D2BE" w14:textId="77777777" w:rsidR="00220F3E" w:rsidRPr="000379E2" w:rsidRDefault="00220F3E" w:rsidP="00220F3E">
            <w:pPr>
              <w:numPr>
                <w:ilvl w:val="0"/>
                <w:numId w:val="16"/>
              </w:numPr>
              <w:rPr>
                <w:lang w:val="en-US"/>
              </w:rPr>
            </w:pPr>
            <w:r w:rsidRPr="000379E2">
              <w:rPr>
                <w:i/>
                <w:iCs/>
                <w:lang w:val="en-US"/>
              </w:rPr>
              <w:t>Sync signal-less carriers/cells/TRPs for at least intra-band and collocated inter-band multi-carrier/cell/TRPs, including potential extensions to additional deployments and scenarios,</w:t>
            </w:r>
          </w:p>
          <w:p w14:paraId="382F8F9A" w14:textId="77777777" w:rsidR="00220F3E" w:rsidRPr="000379E2" w:rsidRDefault="00220F3E" w:rsidP="00220F3E">
            <w:pPr>
              <w:numPr>
                <w:ilvl w:val="0"/>
                <w:numId w:val="16"/>
              </w:numPr>
              <w:rPr>
                <w:lang w:val="en-US"/>
              </w:rPr>
            </w:pPr>
            <w:r w:rsidRPr="000379E2">
              <w:rPr>
                <w:i/>
                <w:iCs/>
                <w:lang w:val="en-US"/>
              </w:rPr>
              <w:t>RRC states,</w:t>
            </w:r>
          </w:p>
          <w:p w14:paraId="13A4D2DA" w14:textId="77777777" w:rsidR="00220F3E" w:rsidRPr="000379E2" w:rsidRDefault="00220F3E" w:rsidP="00220F3E">
            <w:pPr>
              <w:numPr>
                <w:ilvl w:val="0"/>
                <w:numId w:val="16"/>
              </w:numPr>
              <w:rPr>
                <w:lang w:val="en-US"/>
              </w:rPr>
            </w:pPr>
            <w:r w:rsidRPr="000379E2">
              <w:rPr>
                <w:i/>
                <w:iCs/>
                <w:lang w:val="en-US"/>
              </w:rPr>
              <w:t>UE energy consumption and complexity,</w:t>
            </w:r>
          </w:p>
          <w:p w14:paraId="3539A8BF" w14:textId="77777777" w:rsidR="00220F3E" w:rsidRPr="000379E2" w:rsidRDefault="00220F3E" w:rsidP="00220F3E">
            <w:pPr>
              <w:numPr>
                <w:ilvl w:val="0"/>
                <w:numId w:val="16"/>
              </w:numPr>
              <w:rPr>
                <w:lang w:val="en-US"/>
              </w:rPr>
            </w:pPr>
            <w:r w:rsidRPr="000379E2">
              <w:rPr>
                <w:i/>
                <w:iCs/>
                <w:lang w:val="en-US"/>
              </w:rPr>
              <w:t>Other mechanisms/aspects/signals/channels are not precluded.</w:t>
            </w:r>
          </w:p>
          <w:p w14:paraId="590E9D83" w14:textId="77777777" w:rsidR="00220F3E" w:rsidRDefault="00220F3E" w:rsidP="00FF55FE"/>
        </w:tc>
      </w:tr>
    </w:tbl>
    <w:p w14:paraId="30287A45" w14:textId="77777777" w:rsidR="00220F3E" w:rsidRDefault="00220F3E" w:rsidP="00FF55FE"/>
    <w:p w14:paraId="402290E3" w14:textId="3EC1E985" w:rsidR="00F32188" w:rsidRDefault="00220F3E" w:rsidP="00FF55FE">
      <w:pPr>
        <w:rPr>
          <w:szCs w:val="22"/>
          <w:u w:val="single"/>
        </w:rPr>
      </w:pPr>
      <w:r>
        <w:t xml:space="preserve">As a result, RAN2 can assume that certain carriers available to the UE may, at some time, not transmit SSB.  </w:t>
      </w:r>
      <w:r w:rsidR="00FF55FE">
        <w:t xml:space="preserve">  </w:t>
      </w:r>
    </w:p>
    <w:p w14:paraId="5DC8D243" w14:textId="1D83860E" w:rsidR="00717D31" w:rsidRPr="003A3689" w:rsidRDefault="00717D31" w:rsidP="00717D3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Proposal 1:</w:t>
      </w:r>
      <w:r w:rsidRPr="003A3689">
        <w:rPr>
          <w:rFonts w:ascii="Times New Roman" w:hAnsi="Times New Roman"/>
          <w:sz w:val="22"/>
          <w:szCs w:val="22"/>
        </w:rPr>
        <w:tab/>
      </w:r>
      <w:r>
        <w:rPr>
          <w:rFonts w:ascii="Times New Roman" w:hAnsi="Times New Roman"/>
          <w:b w:val="0"/>
          <w:i/>
          <w:iCs/>
          <w:sz w:val="22"/>
          <w:szCs w:val="22"/>
        </w:rPr>
        <w:t xml:space="preserve">Multi-carrier </w:t>
      </w:r>
      <w:r w:rsidR="00FF55FE">
        <w:rPr>
          <w:rFonts w:ascii="Times New Roman" w:hAnsi="Times New Roman"/>
          <w:b w:val="0"/>
          <w:i/>
          <w:iCs/>
          <w:sz w:val="22"/>
          <w:szCs w:val="22"/>
        </w:rPr>
        <w:t xml:space="preserve">support </w:t>
      </w:r>
      <w:r w:rsidR="00333694">
        <w:rPr>
          <w:rFonts w:ascii="Times New Roman" w:hAnsi="Times New Roman"/>
          <w:b w:val="0"/>
          <w:i/>
          <w:iCs/>
          <w:sz w:val="22"/>
          <w:szCs w:val="22"/>
        </w:rPr>
        <w:t xml:space="preserve">for IDLE/INACTIVE in 6G </w:t>
      </w:r>
      <w:r w:rsidR="00FF55FE">
        <w:rPr>
          <w:rFonts w:ascii="Times New Roman" w:hAnsi="Times New Roman"/>
          <w:b w:val="0"/>
          <w:i/>
          <w:iCs/>
          <w:sz w:val="22"/>
          <w:szCs w:val="22"/>
        </w:rPr>
        <w:t xml:space="preserve">is studied by designing </w:t>
      </w:r>
      <w:r w:rsidR="004A3134">
        <w:rPr>
          <w:rFonts w:ascii="Times New Roman" w:hAnsi="Times New Roman"/>
          <w:b w:val="0"/>
          <w:i/>
          <w:iCs/>
          <w:sz w:val="22"/>
          <w:szCs w:val="22"/>
        </w:rPr>
        <w:t>SI, paging, and random</w:t>
      </w:r>
      <w:r w:rsidR="007C7706">
        <w:rPr>
          <w:rFonts w:ascii="Times New Roman" w:hAnsi="Times New Roman"/>
          <w:b w:val="0"/>
          <w:i/>
          <w:iCs/>
          <w:sz w:val="22"/>
          <w:szCs w:val="22"/>
        </w:rPr>
        <w:t>-</w:t>
      </w:r>
      <w:r w:rsidR="004A3134">
        <w:rPr>
          <w:rFonts w:ascii="Times New Roman" w:hAnsi="Times New Roman"/>
          <w:b w:val="0"/>
          <w:i/>
          <w:iCs/>
          <w:sz w:val="22"/>
          <w:szCs w:val="22"/>
        </w:rPr>
        <w:t>access procedure</w:t>
      </w:r>
      <w:r w:rsidR="00FF55FE">
        <w:rPr>
          <w:rFonts w:ascii="Times New Roman" w:hAnsi="Times New Roman"/>
          <w:b w:val="0"/>
          <w:i/>
          <w:iCs/>
          <w:sz w:val="22"/>
          <w:szCs w:val="22"/>
        </w:rPr>
        <w:t>s</w:t>
      </w:r>
      <w:r w:rsidR="004A3134">
        <w:rPr>
          <w:rFonts w:ascii="Times New Roman" w:hAnsi="Times New Roman"/>
          <w:b w:val="0"/>
          <w:i/>
          <w:iCs/>
          <w:sz w:val="22"/>
          <w:szCs w:val="22"/>
        </w:rPr>
        <w:t xml:space="preserve"> </w:t>
      </w:r>
      <w:r w:rsidR="00FF55FE">
        <w:rPr>
          <w:rFonts w:ascii="Times New Roman" w:hAnsi="Times New Roman"/>
          <w:b w:val="0"/>
          <w:i/>
          <w:iCs/>
          <w:sz w:val="22"/>
          <w:szCs w:val="22"/>
        </w:rPr>
        <w:t xml:space="preserve">that assume </w:t>
      </w:r>
      <w:r w:rsidR="00220F3E">
        <w:rPr>
          <w:rFonts w:ascii="Times New Roman" w:hAnsi="Times New Roman"/>
          <w:b w:val="0"/>
          <w:i/>
          <w:iCs/>
          <w:sz w:val="22"/>
          <w:szCs w:val="22"/>
        </w:rPr>
        <w:t xml:space="preserve">1) </w:t>
      </w:r>
      <w:r w:rsidR="004A3134">
        <w:rPr>
          <w:rFonts w:ascii="Times New Roman" w:hAnsi="Times New Roman"/>
          <w:b w:val="0"/>
          <w:i/>
          <w:iCs/>
          <w:sz w:val="22"/>
          <w:szCs w:val="22"/>
        </w:rPr>
        <w:t xml:space="preserve">multiple cells/carriers </w:t>
      </w:r>
      <w:r w:rsidR="00FF55FE">
        <w:rPr>
          <w:rFonts w:ascii="Times New Roman" w:hAnsi="Times New Roman"/>
          <w:b w:val="0"/>
          <w:i/>
          <w:iCs/>
          <w:sz w:val="22"/>
          <w:szCs w:val="22"/>
        </w:rPr>
        <w:t xml:space="preserve">are </w:t>
      </w:r>
      <w:r w:rsidR="004A3134">
        <w:rPr>
          <w:rFonts w:ascii="Times New Roman" w:hAnsi="Times New Roman"/>
          <w:b w:val="0"/>
          <w:i/>
          <w:iCs/>
          <w:sz w:val="22"/>
          <w:szCs w:val="22"/>
        </w:rPr>
        <w:t>visible to a UE in IDLE/INACTIVE</w:t>
      </w:r>
      <w:r w:rsidR="00220F3E">
        <w:rPr>
          <w:rFonts w:ascii="Times New Roman" w:hAnsi="Times New Roman"/>
          <w:b w:val="0"/>
          <w:i/>
          <w:iCs/>
          <w:sz w:val="22"/>
          <w:szCs w:val="22"/>
        </w:rPr>
        <w:t xml:space="preserve">, 2) Not all carriers/cells </w:t>
      </w:r>
      <w:r w:rsidR="000725F2">
        <w:rPr>
          <w:rFonts w:ascii="Times New Roman" w:hAnsi="Times New Roman"/>
          <w:b w:val="0"/>
          <w:i/>
          <w:iCs/>
          <w:sz w:val="22"/>
          <w:szCs w:val="22"/>
        </w:rPr>
        <w:t xml:space="preserve">which are </w:t>
      </w:r>
      <w:r w:rsidR="00220F3E">
        <w:rPr>
          <w:rFonts w:ascii="Times New Roman" w:hAnsi="Times New Roman"/>
          <w:b w:val="0"/>
          <w:i/>
          <w:iCs/>
          <w:sz w:val="22"/>
          <w:szCs w:val="22"/>
        </w:rPr>
        <w:t xml:space="preserve">known to the UE in IDLE/INACTIVE transmit SSB.   </w:t>
      </w:r>
    </w:p>
    <w:p w14:paraId="19232C26" w14:textId="205659E9" w:rsidR="00220F3E" w:rsidRDefault="00220F3E" w:rsidP="00220F3E">
      <w:pPr>
        <w:rPr>
          <w:u w:val="single"/>
        </w:rPr>
      </w:pPr>
      <w:r>
        <w:rPr>
          <w:u w:val="single"/>
        </w:rPr>
        <w:t>System Information</w:t>
      </w:r>
    </w:p>
    <w:p w14:paraId="1FE54AD6" w14:textId="358DFA18" w:rsidR="00462D18" w:rsidRPr="00462D18" w:rsidRDefault="00462D18" w:rsidP="00220F3E">
      <w:r>
        <w:t xml:space="preserve">In 5G, system information is transmitted on each cell where the UE can camp and eventually perform access. To enable SSB-less cell/carrier associated with the IDLE/INACTIVE multicarrier approach, a UE should be able to obtain system information that is specific to different carriers/cells from an anchor carrier (or a subset of carriers). To some degree, this was already </w:t>
      </w:r>
      <w:r w:rsidR="004E56FB">
        <w:t xml:space="preserve">possible </w:t>
      </w:r>
      <w:r>
        <w:t xml:space="preserve">in 5G where </w:t>
      </w:r>
      <w:r w:rsidR="00E2609D">
        <w:t>the SI can contain PHY resources (RACH, etc) associated with the NUL and SUL. With a more general multicarrier approach, SI may be transmitted on a subset of carriers which may change based on NW energy saving state.</w:t>
      </w:r>
    </w:p>
    <w:p w14:paraId="3C60E058" w14:textId="3ADB4525" w:rsidR="007C3CFC" w:rsidRPr="003A3689" w:rsidRDefault="007C3CFC" w:rsidP="007C3CF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0B1591">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System information is transmitted in a single</w:t>
      </w:r>
      <w:r w:rsidR="00517E80">
        <w:rPr>
          <w:rFonts w:ascii="Times New Roman" w:hAnsi="Times New Roman"/>
          <w:b w:val="0"/>
          <w:i/>
          <w:iCs/>
          <w:sz w:val="22"/>
          <w:szCs w:val="22"/>
        </w:rPr>
        <w:t>/subset of</w:t>
      </w:r>
      <w:r>
        <w:rPr>
          <w:rFonts w:ascii="Times New Roman" w:hAnsi="Times New Roman"/>
          <w:b w:val="0"/>
          <w:i/>
          <w:iCs/>
          <w:sz w:val="22"/>
          <w:szCs w:val="22"/>
        </w:rPr>
        <w:t xml:space="preserve"> carrier</w:t>
      </w:r>
      <w:r w:rsidR="00517E80">
        <w:rPr>
          <w:rFonts w:ascii="Times New Roman" w:hAnsi="Times New Roman"/>
          <w:b w:val="0"/>
          <w:i/>
          <w:iCs/>
          <w:sz w:val="22"/>
          <w:szCs w:val="22"/>
        </w:rPr>
        <w:t>(s)</w:t>
      </w:r>
      <w:r w:rsidR="00D03B5B">
        <w:rPr>
          <w:rFonts w:ascii="Times New Roman" w:hAnsi="Times New Roman"/>
          <w:b w:val="0"/>
          <w:i/>
          <w:iCs/>
          <w:sz w:val="22"/>
          <w:szCs w:val="22"/>
        </w:rPr>
        <w:t>/cell</w:t>
      </w:r>
      <w:r w:rsidR="00517E80">
        <w:rPr>
          <w:rFonts w:ascii="Times New Roman" w:hAnsi="Times New Roman"/>
          <w:b w:val="0"/>
          <w:i/>
          <w:iCs/>
          <w:sz w:val="22"/>
          <w:szCs w:val="22"/>
        </w:rPr>
        <w:t>(s)</w:t>
      </w:r>
      <w:r>
        <w:rPr>
          <w:rFonts w:ascii="Times New Roman" w:hAnsi="Times New Roman"/>
          <w:b w:val="0"/>
          <w:i/>
          <w:iCs/>
          <w:sz w:val="22"/>
          <w:szCs w:val="22"/>
        </w:rPr>
        <w:t xml:space="preserve"> but may contain access information </w:t>
      </w:r>
      <w:r w:rsidR="0091661D">
        <w:rPr>
          <w:rFonts w:ascii="Times New Roman" w:hAnsi="Times New Roman"/>
          <w:b w:val="0"/>
          <w:i/>
          <w:iCs/>
          <w:sz w:val="22"/>
          <w:szCs w:val="22"/>
        </w:rPr>
        <w:t>associated with other carriers</w:t>
      </w:r>
      <w:r>
        <w:rPr>
          <w:rFonts w:ascii="Times New Roman" w:hAnsi="Times New Roman"/>
          <w:b w:val="0"/>
          <w:i/>
          <w:iCs/>
          <w:sz w:val="22"/>
          <w:szCs w:val="22"/>
        </w:rPr>
        <w:t xml:space="preserve">.  </w:t>
      </w:r>
    </w:p>
    <w:p w14:paraId="198240BB" w14:textId="71B9A610" w:rsidR="00220F3E" w:rsidRDefault="00220F3E" w:rsidP="00220F3E">
      <w:pPr>
        <w:rPr>
          <w:u w:val="single"/>
        </w:rPr>
      </w:pPr>
      <w:r>
        <w:rPr>
          <w:u w:val="single"/>
        </w:rPr>
        <w:t>Paging</w:t>
      </w:r>
    </w:p>
    <w:p w14:paraId="5938A5AE" w14:textId="742BB992" w:rsidR="00AE1BBC" w:rsidRDefault="004236BA" w:rsidP="008628DC">
      <w:r>
        <w:t xml:space="preserve">Paging configuration in 5G </w:t>
      </w:r>
      <w:r w:rsidR="000725F2">
        <w:t xml:space="preserve">is </w:t>
      </w:r>
      <w:r w:rsidR="001472D0">
        <w:t xml:space="preserve">considerably </w:t>
      </w:r>
      <w:r>
        <w:t xml:space="preserve">static and </w:t>
      </w:r>
      <w:r w:rsidR="001472D0">
        <w:t xml:space="preserve">paging occasions are </w:t>
      </w:r>
      <w:r>
        <w:t xml:space="preserve">configured </w:t>
      </w:r>
      <w:r w:rsidR="000725F2">
        <w:t xml:space="preserve">in </w:t>
      </w:r>
      <w:r>
        <w:t xml:space="preserve">each cell that can be used for access. This may result in the network having to transmit paging messages on multiple different cells, carriers, </w:t>
      </w:r>
      <w:r w:rsidR="001472D0">
        <w:t>an/or</w:t>
      </w:r>
      <w:r>
        <w:t xml:space="preserve"> TRPs</w:t>
      </w:r>
      <w:r w:rsidR="001472D0">
        <w:t xml:space="preserve">. A more efficient method would be to allow the network to concentrate paging to one or a subset of carriers/cells that serve as the coverage carriers/cells. This avoids significant </w:t>
      </w:r>
      <w:r w:rsidR="00AE1BBC">
        <w:t xml:space="preserve">repetition </w:t>
      </w:r>
      <w:r w:rsidR="001472D0">
        <w:t>of paging</w:t>
      </w:r>
      <w:r w:rsidR="00AE1BBC">
        <w:t xml:space="preserve"> messages over capacity cells which naturally have a smaller coverage. In addition, UEs of different device categories and managing different services will have different requirements in terms of paging repetition, transmission bandwidth, etc. Distributing such different requirements over all of the network’s cells/carriers can limit the network’s ability to save power.</w:t>
      </w:r>
    </w:p>
    <w:p w14:paraId="1042BC8A" w14:textId="6B677E81" w:rsidR="004236BA" w:rsidRDefault="00AE1BBC" w:rsidP="008628DC">
      <w:r>
        <w:t>As discussed in our companion contribution</w:t>
      </w:r>
      <w:r w:rsidR="000725F2">
        <w:t xml:space="preserve"> on paging</w:t>
      </w:r>
      <w:r>
        <w:t xml:space="preserve">, a more dynamic allocation of paging resources can improve network energy savings, and this applies to frequency adaptability as well.  However, from the UE side, it is important that each UE monitors paging on only a single carrier/cell from the set of multiple carrier/cells.  </w:t>
      </w:r>
      <w:r w:rsidR="001472D0">
        <w:t xml:space="preserve"> </w:t>
      </w:r>
    </w:p>
    <w:p w14:paraId="3CEF65A6" w14:textId="306345CA" w:rsidR="00310A9B" w:rsidRPr="003A3689" w:rsidRDefault="00310A9B" w:rsidP="00310A9B">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AF29CB">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 </w:t>
      </w:r>
      <w:r w:rsidR="00281069">
        <w:rPr>
          <w:rFonts w:ascii="Times New Roman" w:hAnsi="Times New Roman"/>
          <w:b w:val="0"/>
          <w:i/>
          <w:iCs/>
          <w:sz w:val="22"/>
          <w:szCs w:val="22"/>
        </w:rPr>
        <w:t xml:space="preserve">UE monitors paging </w:t>
      </w:r>
      <w:r w:rsidR="00210BE5">
        <w:rPr>
          <w:rFonts w:ascii="Times New Roman" w:hAnsi="Times New Roman"/>
          <w:b w:val="0"/>
          <w:i/>
          <w:iCs/>
          <w:sz w:val="22"/>
          <w:szCs w:val="22"/>
        </w:rPr>
        <w:t xml:space="preserve">on one carrier/cell from a set of </w:t>
      </w:r>
      <w:r w:rsidR="005C14CE">
        <w:rPr>
          <w:rFonts w:ascii="Times New Roman" w:hAnsi="Times New Roman"/>
          <w:b w:val="0"/>
          <w:i/>
          <w:iCs/>
          <w:sz w:val="22"/>
          <w:szCs w:val="22"/>
        </w:rPr>
        <w:t xml:space="preserve">multiple carriers/cells </w:t>
      </w:r>
      <w:r w:rsidR="004C7066">
        <w:rPr>
          <w:rFonts w:ascii="Times New Roman" w:hAnsi="Times New Roman"/>
          <w:b w:val="0"/>
          <w:i/>
          <w:iCs/>
          <w:sz w:val="22"/>
          <w:szCs w:val="22"/>
        </w:rPr>
        <w:t xml:space="preserve">to allow association of UEs to a carrier by at least </w:t>
      </w:r>
      <w:r w:rsidR="005C14CE">
        <w:rPr>
          <w:rFonts w:ascii="Times New Roman" w:hAnsi="Times New Roman"/>
          <w:b w:val="0"/>
          <w:i/>
          <w:iCs/>
          <w:sz w:val="22"/>
          <w:szCs w:val="22"/>
        </w:rPr>
        <w:t>device category,</w:t>
      </w:r>
      <w:r w:rsidR="00324F53">
        <w:rPr>
          <w:rFonts w:ascii="Times New Roman" w:hAnsi="Times New Roman"/>
          <w:b w:val="0"/>
          <w:i/>
          <w:iCs/>
          <w:sz w:val="22"/>
          <w:szCs w:val="22"/>
        </w:rPr>
        <w:t xml:space="preserve"> service type,</w:t>
      </w:r>
      <w:r w:rsidR="00211003">
        <w:rPr>
          <w:rFonts w:ascii="Times New Roman" w:hAnsi="Times New Roman"/>
          <w:b w:val="0"/>
          <w:i/>
          <w:iCs/>
          <w:sz w:val="22"/>
          <w:szCs w:val="22"/>
        </w:rPr>
        <w:t xml:space="preserve"> and coverage.</w:t>
      </w:r>
      <w:r w:rsidR="001A0501">
        <w:rPr>
          <w:rFonts w:ascii="Times New Roman" w:hAnsi="Times New Roman"/>
          <w:b w:val="0"/>
          <w:i/>
          <w:iCs/>
          <w:sz w:val="22"/>
          <w:szCs w:val="22"/>
        </w:rPr>
        <w:t xml:space="preserve">  FFS how the UE determines the paging carrier/cell.</w:t>
      </w:r>
      <w:r w:rsidR="00324F53">
        <w:rPr>
          <w:rFonts w:ascii="Times New Roman" w:hAnsi="Times New Roman"/>
          <w:b w:val="0"/>
          <w:i/>
          <w:iCs/>
          <w:sz w:val="22"/>
          <w:szCs w:val="22"/>
        </w:rPr>
        <w:t xml:space="preserve"> </w:t>
      </w:r>
      <w:r w:rsidR="005C14CE">
        <w:rPr>
          <w:rFonts w:ascii="Times New Roman" w:hAnsi="Times New Roman"/>
          <w:b w:val="0"/>
          <w:i/>
          <w:iCs/>
          <w:sz w:val="22"/>
          <w:szCs w:val="22"/>
        </w:rPr>
        <w:t xml:space="preserve"> </w:t>
      </w:r>
    </w:p>
    <w:p w14:paraId="547BD581" w14:textId="6D6C465B" w:rsidR="00220F3E" w:rsidRDefault="00220F3E" w:rsidP="00220F3E">
      <w:pPr>
        <w:rPr>
          <w:u w:val="single"/>
        </w:rPr>
      </w:pPr>
      <w:r>
        <w:rPr>
          <w:u w:val="single"/>
        </w:rPr>
        <w:t>Random Access</w:t>
      </w:r>
    </w:p>
    <w:p w14:paraId="0E87243B" w14:textId="77777777" w:rsidR="00E6259E" w:rsidRDefault="00E6259E" w:rsidP="008628DC">
      <w:r>
        <w:t>One main motivation for multicarrier in IDLE/INACTIVE is to allow the UE to connect to the ideal carrier (e.g., the capacity carrier) as quickly as possible during the transition from a power efficient state to a data transmission state. To do this, the multicarrier nature can be taken into account by the UE already during the access procedure.</w:t>
      </w:r>
    </w:p>
    <w:p w14:paraId="7E905CCE" w14:textId="46F5A548" w:rsidR="00FA0AC0" w:rsidRDefault="00E6259E" w:rsidP="008628DC">
      <w:r>
        <w:t xml:space="preserve">One way to achieve this is for the UE to establish the connection already on the capacity carrier. </w:t>
      </w:r>
      <w:bookmarkStart w:id="1" w:name="_Hlk220505595"/>
      <w:r>
        <w:t xml:space="preserve">The UE can select the cell/carrier (e.g., based on a combination of measurements and </w:t>
      </w:r>
      <w:r w:rsidR="00FA0AC0">
        <w:t>UE service requirements</w:t>
      </w:r>
      <w:r>
        <w:t>) and initiate RACH transmission to th</w:t>
      </w:r>
      <w:r w:rsidR="00FA0AC0">
        <w:t xml:space="preserve">at carrier/cell, instead of the carrier/cell the UE is currently camped on. This approach is similar to the SUL approach in NR and could be extended to take into account network preference of NW load and UE service requirements. </w:t>
      </w:r>
      <w:bookmarkEnd w:id="1"/>
      <w:r w:rsidR="00FA0AC0">
        <w:t>NW paging can also enable such selection for the case of mobile terminated data.</w:t>
      </w:r>
    </w:p>
    <w:p w14:paraId="3682D6EB" w14:textId="6D04865A" w:rsidR="00220F3E" w:rsidRDefault="00FA0AC0" w:rsidP="008628DC">
      <w:r>
        <w:t xml:space="preserve">On the other hand, </w:t>
      </w:r>
      <w:r w:rsidR="00956A57">
        <w:t xml:space="preserve">such approach would require configuring RACH resources on all carriers. </w:t>
      </w:r>
      <w:r>
        <w:t xml:space="preserve">Random access could be more network energy efficient if the UE initiates RACH on one cell/carrier (e.g., the cell/carrier it is camped on) but can select or be redirected by the network to another cell/carrier before completion of the random access procedure. The network may temporarily transmit synchronization signals to allow proper selection by the UE of the carrier/cell during the procedure, or the UE may provide </w:t>
      </w:r>
      <w:r w:rsidR="00C56832">
        <w:t xml:space="preserve">the network </w:t>
      </w:r>
      <w:r>
        <w:t>service-specific information during the access</w:t>
      </w:r>
      <w:r w:rsidR="00C56832">
        <w:t xml:space="preserve"> to allow the network to redirect the UE to the appropriate cell/carrier.</w:t>
      </w:r>
      <w:r>
        <w:t xml:space="preserve">    </w:t>
      </w:r>
    </w:p>
    <w:p w14:paraId="64F1935B" w14:textId="69F6EB21" w:rsidR="003D652F" w:rsidRDefault="003D652F" w:rsidP="003D652F">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A UE’s random access procedure in multicarrier deployment should allow fast connection to the appropriate carrier/cell for that UE. </w:t>
      </w:r>
    </w:p>
    <w:p w14:paraId="4DAF4072" w14:textId="77777777" w:rsidR="003D652F" w:rsidRDefault="003D652F" w:rsidP="008628DC"/>
    <w:p w14:paraId="7CBEF086" w14:textId="75262B94" w:rsidR="00E654CF" w:rsidRPr="003A3689" w:rsidRDefault="00E654CF" w:rsidP="00E654CF">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 xml:space="preserve">Proposal </w:t>
      </w:r>
      <w:r w:rsidR="00AF29CB">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00CD5E86">
        <w:rPr>
          <w:rFonts w:ascii="Times New Roman" w:hAnsi="Times New Roman"/>
          <w:b w:val="0"/>
          <w:i/>
          <w:iCs/>
          <w:sz w:val="22"/>
          <w:szCs w:val="22"/>
        </w:rPr>
        <w:t>RAN2 stud</w:t>
      </w:r>
      <w:r w:rsidR="00E55B83">
        <w:rPr>
          <w:rFonts w:ascii="Times New Roman" w:hAnsi="Times New Roman"/>
          <w:b w:val="0"/>
          <w:i/>
          <w:iCs/>
          <w:sz w:val="22"/>
          <w:szCs w:val="22"/>
        </w:rPr>
        <w:t xml:space="preserve">ies </w:t>
      </w:r>
      <w:r w:rsidR="007516B3">
        <w:rPr>
          <w:rFonts w:ascii="Times New Roman" w:hAnsi="Times New Roman"/>
          <w:b w:val="0"/>
          <w:i/>
          <w:iCs/>
          <w:sz w:val="22"/>
          <w:szCs w:val="22"/>
        </w:rPr>
        <w:t>how the carrier is determined</w:t>
      </w:r>
      <w:r w:rsidR="009B69AD">
        <w:rPr>
          <w:rFonts w:ascii="Times New Roman" w:hAnsi="Times New Roman"/>
          <w:b w:val="0"/>
          <w:i/>
          <w:iCs/>
          <w:sz w:val="22"/>
          <w:szCs w:val="22"/>
        </w:rPr>
        <w:t xml:space="preserve"> during access</w:t>
      </w:r>
      <w:r w:rsidR="007D2635">
        <w:rPr>
          <w:rFonts w:ascii="Times New Roman" w:hAnsi="Times New Roman"/>
          <w:b w:val="0"/>
          <w:i/>
          <w:iCs/>
          <w:sz w:val="22"/>
          <w:szCs w:val="22"/>
        </w:rPr>
        <w:t xml:space="preserve">, for example, </w:t>
      </w:r>
      <w:r w:rsidR="007516B3">
        <w:rPr>
          <w:rFonts w:ascii="Times New Roman" w:hAnsi="Times New Roman"/>
          <w:b w:val="0"/>
          <w:i/>
          <w:iCs/>
          <w:sz w:val="22"/>
          <w:szCs w:val="22"/>
        </w:rPr>
        <w:t>UE selects the carrier</w:t>
      </w:r>
      <w:r w:rsidR="007D2635">
        <w:rPr>
          <w:rFonts w:ascii="Times New Roman" w:hAnsi="Times New Roman"/>
          <w:b w:val="0"/>
          <w:i/>
          <w:iCs/>
          <w:sz w:val="22"/>
          <w:szCs w:val="22"/>
        </w:rPr>
        <w:t xml:space="preserve"> or</w:t>
      </w:r>
      <w:r w:rsidR="007516B3">
        <w:rPr>
          <w:rFonts w:ascii="Times New Roman" w:hAnsi="Times New Roman"/>
          <w:b w:val="0"/>
          <w:i/>
          <w:iCs/>
          <w:sz w:val="22"/>
          <w:szCs w:val="22"/>
        </w:rPr>
        <w:t xml:space="preserve"> NW redirects the UE</w:t>
      </w:r>
      <w:r w:rsidR="003D652F">
        <w:rPr>
          <w:rFonts w:ascii="Times New Roman" w:hAnsi="Times New Roman"/>
          <w:b w:val="0"/>
          <w:i/>
          <w:iCs/>
          <w:sz w:val="22"/>
          <w:szCs w:val="22"/>
        </w:rPr>
        <w:t xml:space="preserve"> before/during the RACH procedure</w:t>
      </w:r>
      <w:r w:rsidR="007516B3">
        <w:rPr>
          <w:rFonts w:ascii="Times New Roman" w:hAnsi="Times New Roman"/>
          <w:b w:val="0"/>
          <w:i/>
          <w:iCs/>
          <w:sz w:val="22"/>
          <w:szCs w:val="22"/>
        </w:rPr>
        <w:t>.</w:t>
      </w:r>
      <w:r w:rsidR="00CD5E86">
        <w:rPr>
          <w:rFonts w:ascii="Times New Roman" w:hAnsi="Times New Roman"/>
          <w:b w:val="0"/>
          <w:i/>
          <w:iCs/>
          <w:sz w:val="22"/>
          <w:szCs w:val="22"/>
        </w:rPr>
        <w:t xml:space="preserve"> </w:t>
      </w:r>
      <w:r w:rsidR="00E35A69">
        <w:rPr>
          <w:rFonts w:ascii="Times New Roman" w:hAnsi="Times New Roman"/>
          <w:b w:val="0"/>
          <w:i/>
          <w:iCs/>
          <w:sz w:val="22"/>
          <w:szCs w:val="22"/>
        </w:rPr>
        <w:t xml:space="preserve"> </w:t>
      </w:r>
    </w:p>
    <w:p w14:paraId="4FD957BA" w14:textId="0323BE11" w:rsidR="00097667" w:rsidRDefault="009C3688" w:rsidP="007A5180">
      <w:pPr>
        <w:pStyle w:val="Heading2"/>
        <w:overflowPunct/>
        <w:autoSpaceDE/>
        <w:autoSpaceDN/>
        <w:adjustRightInd/>
        <w:textAlignment w:val="auto"/>
      </w:pPr>
      <w:r>
        <w:t>Multicarrier in CONNECTED</w:t>
      </w:r>
    </w:p>
    <w:p w14:paraId="3863F272" w14:textId="77777777" w:rsidR="00EE157C" w:rsidRDefault="003C5F1E" w:rsidP="00005E2A">
      <w:r>
        <w:t>RAN1 (in conjunction with RAN4) is discussing spectrum aggregation for 6G. In that discussion, two main approaches are being considered for spectrum aggregation. A traditional approach based on carrier aggregation (i.e., as in 5G) is being considered, where the UE is configured with multiple cells (i.e., a PCell and one or more SCells)</w:t>
      </w:r>
      <w:r w:rsidR="00EE157C">
        <w:t xml:space="preserve"> to operate on in CONNECTED. In addition, RAN1/RAN4 are evaluating the possibility of aggregating different portions of spectrum in different bands using a single cell/BWP that operates over non-contiguous spectrum.</w:t>
      </w:r>
    </w:p>
    <w:p w14:paraId="4F7E3438" w14:textId="6739566C" w:rsidR="00005E2A" w:rsidRDefault="00EE157C" w:rsidP="00005E2A">
      <w:r>
        <w:t xml:space="preserve">While the support of </w:t>
      </w:r>
      <w:r w:rsidR="00630639">
        <w:t xml:space="preserve">a </w:t>
      </w:r>
      <w:r>
        <w:t>non-contiguou</w:t>
      </w:r>
      <w:r w:rsidR="00630639">
        <w:t xml:space="preserve"> cell/BWP </w:t>
      </w:r>
      <w:r>
        <w:t>is mostly up</w:t>
      </w:r>
      <w:r w:rsidR="00B856A7">
        <w:t xml:space="preserve"> </w:t>
      </w:r>
      <w:r>
        <w:t xml:space="preserve">to RAN1, it is likely that some devices may not have the capability to support such operation. </w:t>
      </w:r>
      <w:r w:rsidR="00630639">
        <w:t>In addition, some deployments (e.g. different frequency bands) may still require combining multiple such non-contiguous cells/BWPs using the traditional multicarrier approach of PCell and SCell</w:t>
      </w:r>
      <w:r w:rsidR="00F1693E">
        <w:t xml:space="preserve"> in 5G</w:t>
      </w:r>
      <w:r w:rsidR="00630639">
        <w:t xml:space="preserve">. </w:t>
      </w:r>
      <w:r>
        <w:t>For this reason, we think 5G-like carrier aggregation should at least be natively supported in 6G.</w:t>
      </w:r>
      <w:r w:rsidR="00D96E57">
        <w:t xml:space="preserve"> </w:t>
      </w:r>
    </w:p>
    <w:p w14:paraId="11908005" w14:textId="7507B040" w:rsidR="003E1C7F" w:rsidRPr="003A3689" w:rsidRDefault="003E1C7F" w:rsidP="003E1C7F">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3C29D4">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sidR="000544C0">
        <w:rPr>
          <w:rFonts w:ascii="Times New Roman" w:hAnsi="Times New Roman"/>
          <w:b w:val="0"/>
          <w:i/>
          <w:iCs/>
          <w:sz w:val="22"/>
          <w:szCs w:val="22"/>
        </w:rPr>
        <w:t>RAN2 assumes 5G</w:t>
      </w:r>
      <w:r w:rsidR="001848BC">
        <w:rPr>
          <w:rFonts w:ascii="Times New Roman" w:hAnsi="Times New Roman"/>
          <w:b w:val="0"/>
          <w:i/>
          <w:iCs/>
          <w:sz w:val="22"/>
          <w:szCs w:val="22"/>
        </w:rPr>
        <w:t>-like</w:t>
      </w:r>
      <w:r w:rsidR="000544C0">
        <w:rPr>
          <w:rFonts w:ascii="Times New Roman" w:hAnsi="Times New Roman"/>
          <w:b w:val="0"/>
          <w:i/>
          <w:iCs/>
          <w:sz w:val="22"/>
          <w:szCs w:val="22"/>
        </w:rPr>
        <w:t xml:space="preserve"> carrier aggregation </w:t>
      </w:r>
      <w:r w:rsidR="00465960">
        <w:rPr>
          <w:rFonts w:ascii="Times New Roman" w:hAnsi="Times New Roman"/>
          <w:b w:val="0"/>
          <w:i/>
          <w:iCs/>
          <w:sz w:val="22"/>
          <w:szCs w:val="22"/>
        </w:rPr>
        <w:t xml:space="preserve">is </w:t>
      </w:r>
      <w:r w:rsidR="00D96E57">
        <w:rPr>
          <w:rFonts w:ascii="Times New Roman" w:hAnsi="Times New Roman"/>
          <w:b w:val="0"/>
          <w:i/>
          <w:iCs/>
          <w:sz w:val="22"/>
          <w:szCs w:val="22"/>
        </w:rPr>
        <w:t xml:space="preserve">supported for </w:t>
      </w:r>
      <w:r w:rsidR="00465960">
        <w:rPr>
          <w:rFonts w:ascii="Times New Roman" w:hAnsi="Times New Roman"/>
          <w:b w:val="0"/>
          <w:i/>
          <w:iCs/>
          <w:sz w:val="22"/>
          <w:szCs w:val="22"/>
        </w:rPr>
        <w:t xml:space="preserve">aggregating resources of one </w:t>
      </w:r>
      <w:r w:rsidR="000013AD">
        <w:rPr>
          <w:rFonts w:ascii="Times New Roman" w:hAnsi="Times New Roman"/>
          <w:b w:val="0"/>
          <w:i/>
          <w:iCs/>
          <w:sz w:val="22"/>
          <w:szCs w:val="22"/>
        </w:rPr>
        <w:t>cell</w:t>
      </w:r>
      <w:r w:rsidR="00465960">
        <w:rPr>
          <w:rFonts w:ascii="Times New Roman" w:hAnsi="Times New Roman"/>
          <w:b w:val="0"/>
          <w:i/>
          <w:iCs/>
          <w:sz w:val="22"/>
          <w:szCs w:val="22"/>
        </w:rPr>
        <w:t xml:space="preserve"> </w:t>
      </w:r>
      <w:r w:rsidR="0043764B">
        <w:rPr>
          <w:rFonts w:ascii="Times New Roman" w:hAnsi="Times New Roman"/>
          <w:b w:val="0"/>
          <w:i/>
          <w:iCs/>
          <w:sz w:val="22"/>
          <w:szCs w:val="22"/>
        </w:rPr>
        <w:t xml:space="preserve">with resources of another </w:t>
      </w:r>
      <w:r w:rsidR="000013AD">
        <w:rPr>
          <w:rFonts w:ascii="Times New Roman" w:hAnsi="Times New Roman"/>
          <w:b w:val="0"/>
          <w:i/>
          <w:iCs/>
          <w:sz w:val="22"/>
          <w:szCs w:val="22"/>
        </w:rPr>
        <w:t>cell</w:t>
      </w:r>
      <w:r w:rsidR="0043764B">
        <w:rPr>
          <w:rFonts w:ascii="Times New Roman" w:hAnsi="Times New Roman"/>
          <w:b w:val="0"/>
          <w:i/>
          <w:iCs/>
          <w:sz w:val="22"/>
          <w:szCs w:val="22"/>
        </w:rPr>
        <w:t xml:space="preserve"> in CONNECTED mode</w:t>
      </w:r>
      <w:r w:rsidR="002E3CBA">
        <w:rPr>
          <w:rFonts w:ascii="Times New Roman" w:hAnsi="Times New Roman"/>
          <w:b w:val="0"/>
          <w:i/>
          <w:iCs/>
          <w:sz w:val="22"/>
          <w:szCs w:val="22"/>
        </w:rPr>
        <w:t xml:space="preserve"> and waits for further progress from RAN1</w:t>
      </w:r>
      <w:r w:rsidR="00B54409">
        <w:rPr>
          <w:rFonts w:ascii="Times New Roman" w:hAnsi="Times New Roman"/>
          <w:b w:val="0"/>
          <w:i/>
          <w:iCs/>
          <w:sz w:val="22"/>
          <w:szCs w:val="22"/>
        </w:rPr>
        <w:t>/RAN4</w:t>
      </w:r>
      <w:r w:rsidR="002E3CBA">
        <w:rPr>
          <w:rFonts w:ascii="Times New Roman" w:hAnsi="Times New Roman"/>
          <w:b w:val="0"/>
          <w:i/>
          <w:iCs/>
          <w:sz w:val="22"/>
          <w:szCs w:val="22"/>
        </w:rPr>
        <w:t xml:space="preserve"> </w:t>
      </w:r>
      <w:r w:rsidR="00217E92">
        <w:rPr>
          <w:rFonts w:ascii="Times New Roman" w:hAnsi="Times New Roman"/>
          <w:b w:val="0"/>
          <w:i/>
          <w:iCs/>
          <w:sz w:val="22"/>
          <w:szCs w:val="22"/>
        </w:rPr>
        <w:t xml:space="preserve">to evaluate impacts to RAN2 on </w:t>
      </w:r>
      <w:r w:rsidR="00482593">
        <w:rPr>
          <w:rFonts w:ascii="Times New Roman" w:hAnsi="Times New Roman"/>
          <w:b w:val="0"/>
          <w:i/>
          <w:iCs/>
          <w:sz w:val="22"/>
          <w:szCs w:val="22"/>
        </w:rPr>
        <w:t xml:space="preserve">single-cell </w:t>
      </w:r>
      <w:r w:rsidR="002E3CBA">
        <w:rPr>
          <w:rFonts w:ascii="Times New Roman" w:hAnsi="Times New Roman"/>
          <w:b w:val="0"/>
          <w:i/>
          <w:iCs/>
          <w:sz w:val="22"/>
          <w:szCs w:val="22"/>
        </w:rPr>
        <w:t>non-contiguous spectrum aggregation</w:t>
      </w:r>
      <w:r w:rsidR="00217E92">
        <w:rPr>
          <w:rFonts w:ascii="Times New Roman" w:hAnsi="Times New Roman"/>
          <w:b w:val="0"/>
          <w:i/>
          <w:iCs/>
          <w:sz w:val="22"/>
          <w:szCs w:val="22"/>
        </w:rPr>
        <w:t>.</w:t>
      </w:r>
      <w:r w:rsidR="002E3CBA">
        <w:rPr>
          <w:rFonts w:ascii="Times New Roman" w:hAnsi="Times New Roman"/>
          <w:b w:val="0"/>
          <w:i/>
          <w:iCs/>
          <w:sz w:val="22"/>
          <w:szCs w:val="22"/>
        </w:rPr>
        <w:t xml:space="preserve"> </w:t>
      </w:r>
    </w:p>
    <w:p w14:paraId="0C2132A1" w14:textId="5C88F177" w:rsidR="003C29D4" w:rsidRDefault="00244A57" w:rsidP="003E1C7F">
      <w:r>
        <w:t>Given 5G-like CA, a</w:t>
      </w:r>
      <w:r w:rsidR="00CA25EC">
        <w:t xml:space="preserve"> more flexible approach for setting up CA during the transition from a power efficient state (e.g., INACTIVE) to CONNECTED</w:t>
      </w:r>
      <w:r w:rsidR="007B2714">
        <w:t xml:space="preserve"> should be studied</w:t>
      </w:r>
      <w:r w:rsidR="00A1349B">
        <w:t xml:space="preserve"> for 6G</w:t>
      </w:r>
      <w:r w:rsidR="007B2714">
        <w:t xml:space="preserve">. </w:t>
      </w:r>
      <w:r w:rsidR="00A1349B">
        <w:t>Specifically, a</w:t>
      </w:r>
      <w:r w:rsidR="00630639">
        <w:t xml:space="preserve"> </w:t>
      </w:r>
      <w:r w:rsidR="007B2714">
        <w:t xml:space="preserve">UE </w:t>
      </w:r>
      <w:r w:rsidR="00630639">
        <w:t xml:space="preserve">that transitions from INACTIVE to CONNECTED needs to wait until it is RRC connected to be configured in CA via RRC signalling. </w:t>
      </w:r>
      <w:r w:rsidR="007B2714">
        <w:t>This creates unnecessary latency and signalling overhead</w:t>
      </w:r>
      <w:r>
        <w:t xml:space="preserve"> limits</w:t>
      </w:r>
      <w:r w:rsidR="007B2714">
        <w:t xml:space="preserve"> the advantages that could be </w:t>
      </w:r>
      <w:r w:rsidR="00077074">
        <w:t xml:space="preserve">obtained by </w:t>
      </w:r>
      <w:r w:rsidR="00A15EDE">
        <w:t xml:space="preserve">using a power-efficient state </w:t>
      </w:r>
      <w:r w:rsidR="007E5C3B">
        <w:t xml:space="preserve">(e.g., INACTIVE) </w:t>
      </w:r>
      <w:r w:rsidR="00A15EDE">
        <w:t>more</w:t>
      </w:r>
      <w:r w:rsidR="007E5C3B">
        <w:t xml:space="preserve"> aggressively for a UE configured with CA.</w:t>
      </w:r>
      <w:r w:rsidR="00A15EDE">
        <w:t xml:space="preserve"> </w:t>
      </w:r>
    </w:p>
    <w:p w14:paraId="5989E360" w14:textId="3FC72E57" w:rsidR="00EF5680" w:rsidRPr="003A3689" w:rsidRDefault="00EF5680" w:rsidP="00EF568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1693E">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sidR="0043764B">
        <w:rPr>
          <w:rFonts w:ascii="Times New Roman" w:hAnsi="Times New Roman"/>
          <w:b w:val="0"/>
          <w:i/>
          <w:iCs/>
          <w:sz w:val="22"/>
          <w:szCs w:val="22"/>
        </w:rPr>
        <w:t xml:space="preserve">RAN2 studies enhancements related to faster </w:t>
      </w:r>
      <w:r w:rsidR="00EE157C">
        <w:rPr>
          <w:rFonts w:ascii="Times New Roman" w:hAnsi="Times New Roman"/>
          <w:b w:val="0"/>
          <w:i/>
          <w:iCs/>
          <w:sz w:val="22"/>
          <w:szCs w:val="22"/>
        </w:rPr>
        <w:t xml:space="preserve">and more flexible </w:t>
      </w:r>
      <w:r w:rsidR="0043764B">
        <w:rPr>
          <w:rFonts w:ascii="Times New Roman" w:hAnsi="Times New Roman"/>
          <w:b w:val="0"/>
          <w:i/>
          <w:iCs/>
          <w:sz w:val="22"/>
          <w:szCs w:val="22"/>
        </w:rPr>
        <w:t xml:space="preserve">setup of CONNECTED mode </w:t>
      </w:r>
      <w:r w:rsidR="00A1349B">
        <w:rPr>
          <w:rFonts w:ascii="Times New Roman" w:hAnsi="Times New Roman"/>
          <w:b w:val="0"/>
          <w:i/>
          <w:iCs/>
          <w:sz w:val="22"/>
          <w:szCs w:val="22"/>
        </w:rPr>
        <w:t xml:space="preserve">5G-like </w:t>
      </w:r>
      <w:r w:rsidR="0043764B">
        <w:rPr>
          <w:rFonts w:ascii="Times New Roman" w:hAnsi="Times New Roman"/>
          <w:b w:val="0"/>
          <w:i/>
          <w:iCs/>
          <w:sz w:val="22"/>
          <w:szCs w:val="22"/>
        </w:rPr>
        <w:t>carrier aggregation from IDLE/INACTIVE</w:t>
      </w:r>
      <w:r w:rsidR="00073B7C">
        <w:rPr>
          <w:rFonts w:ascii="Times New Roman" w:hAnsi="Times New Roman"/>
          <w:b w:val="0"/>
          <w:i/>
          <w:iCs/>
          <w:sz w:val="22"/>
          <w:szCs w:val="22"/>
        </w:rPr>
        <w:t>.</w:t>
      </w:r>
      <w:r w:rsidR="0043764B">
        <w:rPr>
          <w:rFonts w:ascii="Times New Roman" w:hAnsi="Times New Roman"/>
          <w:b w:val="0"/>
          <w:i/>
          <w:iCs/>
          <w:sz w:val="22"/>
          <w:szCs w:val="22"/>
        </w:rPr>
        <w:t xml:space="preserve"> </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B7A932C" w14:textId="2D16612E" w:rsidR="00951C54" w:rsidRPr="00951C54" w:rsidRDefault="00951C54" w:rsidP="00525CD8">
      <w:pPr>
        <w:ind w:left="1276" w:hanging="1276"/>
        <w:rPr>
          <w:u w:val="single"/>
          <w:lang w:val="en-US"/>
        </w:rPr>
      </w:pPr>
      <w:r w:rsidRPr="00951C54">
        <w:rPr>
          <w:u w:val="single"/>
          <w:lang w:val="en-US"/>
        </w:rPr>
        <w:t>Multicarrier in IDLE/INACTIVE</w:t>
      </w:r>
    </w:p>
    <w:p w14:paraId="3907ADCD"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Pr>
          <w:rFonts w:ascii="Times New Roman" w:hAnsi="Times New Roman"/>
          <w:sz w:val="22"/>
          <w:szCs w:val="22"/>
          <w:u w:val="single"/>
        </w:rPr>
        <w:t>a</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007C23">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xml:space="preserve"> The design of IDLE/INACTIVE in 5G limits network energy savings potential (e.g., on-demand SSB cannot be applied to cells intended to be PCells, each carrier/cell has to broadcast all access related information, etc).   </w:t>
      </w:r>
    </w:p>
    <w:p w14:paraId="76A370C7"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1b</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Multicarrier operation in IDLE/INACTIVE provides new opportunities for network energy savings in 6G by allowing the network to turn off transmissions (e.g., SSB) on carriers that are normally used for access.    </w:t>
      </w:r>
    </w:p>
    <w:p w14:paraId="76EA92E8"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2a</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508DE">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xml:space="preserve"> The design of IDLE/INACTIVE in 5G often results in unnecessary latency, signalling overhead, and power consumption for eMBB UEs during state change due to transition between coverage and capacity layers.</w:t>
      </w:r>
    </w:p>
    <w:p w14:paraId="2012CEB6"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2b</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Multicarrier operation can achieve capacity requirements at a UE with lower latency (i.e., direct access to capacity carrier, CA) and lower power consumption (i.e., more opportunities to use a power savings state at the UE).</w:t>
      </w:r>
    </w:p>
    <w:p w14:paraId="1924A543"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3a</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D56E41">
        <w:rPr>
          <w:rFonts w:ascii="Times New Roman" w:hAnsi="Times New Roman"/>
          <w:b w:val="0"/>
          <w:bCs w:val="0"/>
          <w:i/>
          <w:iCs/>
          <w:color w:val="000000"/>
          <w:sz w:val="22"/>
          <w:szCs w:val="22"/>
          <w:u w:val="single"/>
          <w:lang w:eastAsia="ko-KR"/>
        </w:rPr>
        <w:t>Lesson learned from 5G:</w:t>
      </w:r>
      <w:r w:rsidRPr="00D56E41">
        <w:rPr>
          <w:rFonts w:ascii="Times New Roman" w:hAnsi="Times New Roman"/>
          <w:b w:val="0"/>
          <w:bCs w:val="0"/>
          <w:i/>
          <w:iCs/>
          <w:color w:val="000000"/>
          <w:sz w:val="22"/>
          <w:szCs w:val="22"/>
          <w:lang w:eastAsia="ko-KR"/>
        </w:rPr>
        <w:t xml:space="preserve"> </w:t>
      </w:r>
      <w:r>
        <w:rPr>
          <w:rFonts w:ascii="Times New Roman" w:hAnsi="Times New Roman"/>
          <w:b w:val="0"/>
          <w:bCs w:val="0"/>
          <w:i/>
          <w:iCs/>
          <w:color w:val="000000"/>
          <w:sz w:val="22"/>
          <w:szCs w:val="22"/>
          <w:lang w:eastAsia="ko-KR"/>
        </w:rPr>
        <w:t xml:space="preserve">IDLE/INACTIVE in 5G does not support multiple device categories in a resource (e.g., paging, RACH) efficient way.  </w:t>
      </w:r>
    </w:p>
    <w:p w14:paraId="2DE4B8A2"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3b</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Multicarrier operation can achieve more efficient use of resources (e.g., paging, RACH) when trying to design an access procedure that is common to all device categories. </w:t>
      </w:r>
    </w:p>
    <w:p w14:paraId="594B53AA" w14:textId="77777777" w:rsidR="00951C54" w:rsidRPr="003A3689" w:rsidRDefault="00951C54" w:rsidP="00951C5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Proposal 1:</w:t>
      </w:r>
      <w:r w:rsidRPr="003A3689">
        <w:rPr>
          <w:rFonts w:ascii="Times New Roman" w:hAnsi="Times New Roman"/>
          <w:sz w:val="22"/>
          <w:szCs w:val="22"/>
        </w:rPr>
        <w:tab/>
      </w:r>
      <w:r>
        <w:rPr>
          <w:rFonts w:ascii="Times New Roman" w:hAnsi="Times New Roman"/>
          <w:b w:val="0"/>
          <w:i/>
          <w:iCs/>
          <w:sz w:val="22"/>
          <w:szCs w:val="22"/>
        </w:rPr>
        <w:t xml:space="preserve">Multi-carrier support for IDLE/INACTIVE in 6G is studied by designing SI, paging, and random-access procedures that assume 1) multiple cells/carriers are visible to a UE in IDLE/INACTIVE, 2) Not all carriers/cells which are known to the UE in IDLE/INACTIVE transmit SSB.   </w:t>
      </w:r>
    </w:p>
    <w:p w14:paraId="4F6AFEA1" w14:textId="77777777" w:rsidR="00951C54" w:rsidRPr="003A3689" w:rsidRDefault="00951C54" w:rsidP="00951C5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System information is transmitted in a single/subset of carrier(s)/cell(s) but may contain access information associated with other carriers.  </w:t>
      </w:r>
    </w:p>
    <w:p w14:paraId="522845C9" w14:textId="77777777" w:rsidR="00951C54" w:rsidRPr="003A3689" w:rsidRDefault="00951C54" w:rsidP="00951C5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 UE monitors paging on one carrier/cell from a set of multiple carriers/cells to allow association of UEs to a carrier by at least device category, service type, and coverage.  FFS how the UE determines the paging carrier/cell.  </w:t>
      </w:r>
    </w:p>
    <w:p w14:paraId="7F9F779F" w14:textId="77777777" w:rsidR="00951C54" w:rsidRDefault="00951C54" w:rsidP="00951C5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A UE’s random access procedure in multicarrier deployment should allow fast connection to the appropriate carrier/cell for that UE. </w:t>
      </w:r>
    </w:p>
    <w:p w14:paraId="23BD0D51" w14:textId="77777777" w:rsidR="00951C54" w:rsidRDefault="00951C54" w:rsidP="00951C54"/>
    <w:p w14:paraId="26B4AE53" w14:textId="77777777" w:rsidR="00951C54" w:rsidRPr="003A3689" w:rsidRDefault="00951C54" w:rsidP="00951C5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RAN2 studies how the carrier is determined during access, for example, UE selects the carrier or NW redirects the UE before/during the RACH procedure.  </w:t>
      </w:r>
    </w:p>
    <w:p w14:paraId="3598D4CB" w14:textId="77777777" w:rsidR="00951C54" w:rsidRDefault="00951C54" w:rsidP="00525CD8">
      <w:pPr>
        <w:ind w:left="1276" w:hanging="1276"/>
        <w:rPr>
          <w:u w:val="single"/>
          <w:lang w:val="en-US"/>
        </w:rPr>
      </w:pPr>
    </w:p>
    <w:p w14:paraId="4B0A9B25" w14:textId="02A957C5" w:rsidR="00951C54" w:rsidRPr="00951C54" w:rsidRDefault="00951C54" w:rsidP="00525CD8">
      <w:pPr>
        <w:ind w:left="1276" w:hanging="1276"/>
        <w:rPr>
          <w:u w:val="single"/>
          <w:lang w:val="en-US"/>
        </w:rPr>
      </w:pPr>
      <w:r w:rsidRPr="00951C54">
        <w:rPr>
          <w:u w:val="single"/>
          <w:lang w:val="en-US"/>
        </w:rPr>
        <w:t>Multicarrier in CONNECTED</w:t>
      </w:r>
    </w:p>
    <w:p w14:paraId="4BDC03DB" w14:textId="77777777" w:rsidR="00951C54" w:rsidRPr="003A3689" w:rsidRDefault="00951C54" w:rsidP="00951C5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RAN2 assumes 5G-like carrier aggregation is supported for aggregating resources of one cell with resources of another cell in CONNECTED mode and waits for further progress from RAN1/RAN4 to evaluate impacts to RAN2 on single-cell non-contiguous spectrum aggregation. </w:t>
      </w:r>
    </w:p>
    <w:p w14:paraId="7B1C2AF8" w14:textId="77777777" w:rsidR="00951C54" w:rsidRPr="003A3689" w:rsidRDefault="00951C54" w:rsidP="00951C5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RAN2 studies enhancements related to faster and more flexible setup of CONNECTED mode 5G-like carrier aggregation from IDLE/INACTIVE. </w:t>
      </w:r>
    </w:p>
    <w:p w14:paraId="6761EDBF" w14:textId="77777777" w:rsidR="00951C54" w:rsidRDefault="00951C54" w:rsidP="00525CD8">
      <w:pPr>
        <w:ind w:left="1276" w:hanging="1276"/>
        <w:rPr>
          <w:lang w:val="en-US"/>
        </w:rPr>
      </w:pPr>
    </w:p>
    <w:p w14:paraId="71A8147F" w14:textId="52B874B0" w:rsidR="00773F15" w:rsidRPr="0003770D" w:rsidRDefault="00773F15" w:rsidP="0003770D">
      <w:pPr>
        <w:pStyle w:val="Heading1"/>
      </w:pPr>
      <w:bookmarkStart w:id="2" w:name="_Toc178176170"/>
      <w:bookmarkStart w:id="3" w:name="_Hlk110514697"/>
      <w:r w:rsidRPr="0003770D">
        <w:t>References</w:t>
      </w:r>
      <w:bookmarkEnd w:id="2"/>
    </w:p>
    <w:p w14:paraId="0EB8A15D" w14:textId="4F33B739" w:rsidR="00743126" w:rsidRDefault="00AC1071" w:rsidP="004A313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Pr>
          <w:rFonts w:ascii="Times New Roman" w:hAnsi="Times New Roman"/>
          <w:szCs w:val="18"/>
        </w:rPr>
        <w:t>RAN2#132 Chair notes.  RAN2 chair.</w:t>
      </w:r>
      <w:bookmarkEnd w:id="4"/>
    </w:p>
    <w:p w14:paraId="319D22B7" w14:textId="704104CE" w:rsidR="008C5949" w:rsidRDefault="008C5949" w:rsidP="004A313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20604728"/>
      <w:r w:rsidRPr="008C5949">
        <w:rPr>
          <w:rFonts w:ascii="Times New Roman" w:hAnsi="Times New Roman"/>
          <w:szCs w:val="18"/>
        </w:rPr>
        <w:t>RAN1#122bis, Chair notes</w:t>
      </w:r>
      <w:bookmarkEnd w:id="9"/>
    </w:p>
    <w:bookmarkEnd w:id="5"/>
    <w:bookmarkEnd w:id="6"/>
    <w:bookmarkEnd w:id="7"/>
    <w:bookmarkEnd w:id="8"/>
    <w:sectPr w:rsidR="008C5949"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4090" w14:textId="77777777" w:rsidR="009A7657" w:rsidRDefault="009A7657">
      <w:r>
        <w:separator/>
      </w:r>
    </w:p>
  </w:endnote>
  <w:endnote w:type="continuationSeparator" w:id="0">
    <w:p w14:paraId="467A7F74" w14:textId="77777777" w:rsidR="009A7657" w:rsidRDefault="009A7657">
      <w:r>
        <w:continuationSeparator/>
      </w:r>
    </w:p>
  </w:endnote>
  <w:endnote w:type="continuationNotice" w:id="1">
    <w:p w14:paraId="76F50AF8"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B858" w14:textId="77777777" w:rsidR="009A7657" w:rsidRDefault="009A7657">
      <w:r>
        <w:separator/>
      </w:r>
    </w:p>
  </w:footnote>
  <w:footnote w:type="continuationSeparator" w:id="0">
    <w:p w14:paraId="70EB7F2D" w14:textId="77777777" w:rsidR="009A7657" w:rsidRDefault="009A7657">
      <w:r>
        <w:continuationSeparator/>
      </w:r>
    </w:p>
  </w:footnote>
  <w:footnote w:type="continuationNotice" w:id="1">
    <w:p w14:paraId="25067D2A"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8"/>
  </w:num>
  <w:num w:numId="3" w16cid:durableId="1519151789">
    <w:abstractNumId w:val="4"/>
  </w:num>
  <w:num w:numId="4" w16cid:durableId="1934044786">
    <w:abstractNumId w:val="5"/>
  </w:num>
  <w:num w:numId="5" w16cid:durableId="1435324944">
    <w:abstractNumId w:val="2"/>
  </w:num>
  <w:num w:numId="6" w16cid:durableId="1922372000">
    <w:abstractNumId w:val="7"/>
  </w:num>
  <w:num w:numId="7" w16cid:durableId="1083601651">
    <w:abstractNumId w:val="10"/>
  </w:num>
  <w:num w:numId="8" w16cid:durableId="49505293">
    <w:abstractNumId w:val="3"/>
  </w:num>
  <w:num w:numId="9" w16cid:durableId="947472016">
    <w:abstractNumId w:val="16"/>
  </w:num>
  <w:num w:numId="10" w16cid:durableId="831218355">
    <w:abstractNumId w:val="15"/>
  </w:num>
  <w:num w:numId="11" w16cid:durableId="1747527591">
    <w:abstractNumId w:val="12"/>
  </w:num>
  <w:num w:numId="12" w16cid:durableId="628046527">
    <w:abstractNumId w:val="13"/>
  </w:num>
  <w:num w:numId="13" w16cid:durableId="1476489965">
    <w:abstractNumId w:val="14"/>
  </w:num>
  <w:num w:numId="14" w16cid:durableId="63065623">
    <w:abstractNumId w:val="17"/>
  </w:num>
  <w:num w:numId="15" w16cid:durableId="349375189">
    <w:abstractNumId w:val="9"/>
  </w:num>
  <w:num w:numId="16" w16cid:durableId="432750202">
    <w:abstractNumId w:val="1"/>
  </w:num>
  <w:num w:numId="17" w16cid:durableId="659502164">
    <w:abstractNumId w:val="6"/>
  </w:num>
  <w:num w:numId="18" w16cid:durableId="207192399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3AD"/>
    <w:rsid w:val="00001852"/>
    <w:rsid w:val="00001884"/>
    <w:rsid w:val="000018C9"/>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23"/>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3D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379E2"/>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4C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25F2"/>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074"/>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42B"/>
    <w:rsid w:val="000B1591"/>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491"/>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56B0"/>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D64"/>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0FCD"/>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4047"/>
    <w:rsid w:val="001048B7"/>
    <w:rsid w:val="00104A7C"/>
    <w:rsid w:val="00104C7B"/>
    <w:rsid w:val="001052F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2D0"/>
    <w:rsid w:val="001476F1"/>
    <w:rsid w:val="0014787F"/>
    <w:rsid w:val="00147B35"/>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B60"/>
    <w:rsid w:val="001830DE"/>
    <w:rsid w:val="001833D1"/>
    <w:rsid w:val="001835A7"/>
    <w:rsid w:val="00183A3D"/>
    <w:rsid w:val="00184679"/>
    <w:rsid w:val="001846F2"/>
    <w:rsid w:val="00184866"/>
    <w:rsid w:val="001848BC"/>
    <w:rsid w:val="00185B4F"/>
    <w:rsid w:val="00187149"/>
    <w:rsid w:val="00187978"/>
    <w:rsid w:val="00187EDB"/>
    <w:rsid w:val="00187FF9"/>
    <w:rsid w:val="00190338"/>
    <w:rsid w:val="001907D0"/>
    <w:rsid w:val="00190AC1"/>
    <w:rsid w:val="001911F2"/>
    <w:rsid w:val="001921DE"/>
    <w:rsid w:val="00192409"/>
    <w:rsid w:val="001924C7"/>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501"/>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144"/>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655"/>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BE5"/>
    <w:rsid w:val="00210FBB"/>
    <w:rsid w:val="00211003"/>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17E92"/>
    <w:rsid w:val="002201D0"/>
    <w:rsid w:val="00220600"/>
    <w:rsid w:val="00220CB2"/>
    <w:rsid w:val="00220EAB"/>
    <w:rsid w:val="00220F3E"/>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4A57"/>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32"/>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0A"/>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40E"/>
    <w:rsid w:val="002805F5"/>
    <w:rsid w:val="00280751"/>
    <w:rsid w:val="002809BE"/>
    <w:rsid w:val="00280E8F"/>
    <w:rsid w:val="00281069"/>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EFF"/>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B7747"/>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1CB5"/>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CBA"/>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061"/>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94E"/>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4F5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2B1"/>
    <w:rsid w:val="00331751"/>
    <w:rsid w:val="00331A90"/>
    <w:rsid w:val="00331FB5"/>
    <w:rsid w:val="003329DD"/>
    <w:rsid w:val="003330BE"/>
    <w:rsid w:val="003334EA"/>
    <w:rsid w:val="0033352D"/>
    <w:rsid w:val="00333694"/>
    <w:rsid w:val="00333FD7"/>
    <w:rsid w:val="00334165"/>
    <w:rsid w:val="00334578"/>
    <w:rsid w:val="00334579"/>
    <w:rsid w:val="00334D0C"/>
    <w:rsid w:val="0033520D"/>
    <w:rsid w:val="00335858"/>
    <w:rsid w:val="00335CDC"/>
    <w:rsid w:val="00336BDA"/>
    <w:rsid w:val="00337135"/>
    <w:rsid w:val="003372E3"/>
    <w:rsid w:val="0034097E"/>
    <w:rsid w:val="00340BE7"/>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FD1"/>
    <w:rsid w:val="003602D9"/>
    <w:rsid w:val="003607B2"/>
    <w:rsid w:val="00360F08"/>
    <w:rsid w:val="00361752"/>
    <w:rsid w:val="00361FF9"/>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2A"/>
    <w:rsid w:val="003B2D80"/>
    <w:rsid w:val="003B369F"/>
    <w:rsid w:val="003B36A3"/>
    <w:rsid w:val="003B4EB4"/>
    <w:rsid w:val="003B51B0"/>
    <w:rsid w:val="003B53CC"/>
    <w:rsid w:val="003B5A3F"/>
    <w:rsid w:val="003B5D65"/>
    <w:rsid w:val="003B669C"/>
    <w:rsid w:val="003B68CB"/>
    <w:rsid w:val="003B6E30"/>
    <w:rsid w:val="003B71FB"/>
    <w:rsid w:val="003B72C3"/>
    <w:rsid w:val="003B73AA"/>
    <w:rsid w:val="003B795B"/>
    <w:rsid w:val="003B7988"/>
    <w:rsid w:val="003B7AC3"/>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907"/>
    <w:rsid w:val="003C29D4"/>
    <w:rsid w:val="003C31CD"/>
    <w:rsid w:val="003C3448"/>
    <w:rsid w:val="003C3BE2"/>
    <w:rsid w:val="003C49BC"/>
    <w:rsid w:val="003C5324"/>
    <w:rsid w:val="003C5553"/>
    <w:rsid w:val="003C563E"/>
    <w:rsid w:val="003C5C59"/>
    <w:rsid w:val="003C5DB9"/>
    <w:rsid w:val="003C5F1E"/>
    <w:rsid w:val="003C6293"/>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2F"/>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6FF"/>
    <w:rsid w:val="00422AC9"/>
    <w:rsid w:val="00422D12"/>
    <w:rsid w:val="004234DB"/>
    <w:rsid w:val="004236BA"/>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64B"/>
    <w:rsid w:val="004377DC"/>
    <w:rsid w:val="00437D8F"/>
    <w:rsid w:val="00440C67"/>
    <w:rsid w:val="00441362"/>
    <w:rsid w:val="00441A92"/>
    <w:rsid w:val="00441ACB"/>
    <w:rsid w:val="00442490"/>
    <w:rsid w:val="00442A5A"/>
    <w:rsid w:val="00442A5F"/>
    <w:rsid w:val="00443C63"/>
    <w:rsid w:val="00443D26"/>
    <w:rsid w:val="004446F2"/>
    <w:rsid w:val="00444F56"/>
    <w:rsid w:val="0044523D"/>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D18"/>
    <w:rsid w:val="0046493F"/>
    <w:rsid w:val="00464F5D"/>
    <w:rsid w:val="004658DE"/>
    <w:rsid w:val="0046594F"/>
    <w:rsid w:val="00465960"/>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B4B"/>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593"/>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6BB"/>
    <w:rsid w:val="004D06C9"/>
    <w:rsid w:val="004D07C9"/>
    <w:rsid w:val="004D117B"/>
    <w:rsid w:val="004D1322"/>
    <w:rsid w:val="004D1B9C"/>
    <w:rsid w:val="004D1E09"/>
    <w:rsid w:val="004D2254"/>
    <w:rsid w:val="004D2B7A"/>
    <w:rsid w:val="004D3271"/>
    <w:rsid w:val="004D3466"/>
    <w:rsid w:val="004D36B1"/>
    <w:rsid w:val="004D4B05"/>
    <w:rsid w:val="004D4CBD"/>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50"/>
    <w:rsid w:val="004E3AAA"/>
    <w:rsid w:val="004E3B62"/>
    <w:rsid w:val="004E462E"/>
    <w:rsid w:val="004E4A91"/>
    <w:rsid w:val="004E4AD1"/>
    <w:rsid w:val="004E4EA0"/>
    <w:rsid w:val="004E51E3"/>
    <w:rsid w:val="004E53C7"/>
    <w:rsid w:val="004E56DC"/>
    <w:rsid w:val="004E56FB"/>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F27"/>
    <w:rsid w:val="0051249C"/>
    <w:rsid w:val="00512811"/>
    <w:rsid w:val="00512EE3"/>
    <w:rsid w:val="0051391F"/>
    <w:rsid w:val="0051436E"/>
    <w:rsid w:val="00514531"/>
    <w:rsid w:val="005146A4"/>
    <w:rsid w:val="00514DAB"/>
    <w:rsid w:val="00514E10"/>
    <w:rsid w:val="005153A7"/>
    <w:rsid w:val="0051646D"/>
    <w:rsid w:val="005176F7"/>
    <w:rsid w:val="00517934"/>
    <w:rsid w:val="00517E80"/>
    <w:rsid w:val="00517FD4"/>
    <w:rsid w:val="00520569"/>
    <w:rsid w:val="005209D5"/>
    <w:rsid w:val="00521387"/>
    <w:rsid w:val="005214C5"/>
    <w:rsid w:val="005219CF"/>
    <w:rsid w:val="00522170"/>
    <w:rsid w:val="005224CE"/>
    <w:rsid w:val="00522857"/>
    <w:rsid w:val="00522B63"/>
    <w:rsid w:val="005234AA"/>
    <w:rsid w:val="00523DB6"/>
    <w:rsid w:val="00524196"/>
    <w:rsid w:val="00524A22"/>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3F3B"/>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360"/>
    <w:rsid w:val="005C1416"/>
    <w:rsid w:val="005C14C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208"/>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774"/>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E6B"/>
    <w:rsid w:val="0062536A"/>
    <w:rsid w:val="00625537"/>
    <w:rsid w:val="00625963"/>
    <w:rsid w:val="0062596A"/>
    <w:rsid w:val="00625B1B"/>
    <w:rsid w:val="00626130"/>
    <w:rsid w:val="0062616C"/>
    <w:rsid w:val="006274DD"/>
    <w:rsid w:val="0062798D"/>
    <w:rsid w:val="00630001"/>
    <w:rsid w:val="0063055B"/>
    <w:rsid w:val="00630639"/>
    <w:rsid w:val="006309C4"/>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BC"/>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FB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4804"/>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5A1"/>
    <w:rsid w:val="00671DC9"/>
    <w:rsid w:val="0067218F"/>
    <w:rsid w:val="00673108"/>
    <w:rsid w:val="00673784"/>
    <w:rsid w:val="006737B4"/>
    <w:rsid w:val="00673B0F"/>
    <w:rsid w:val="006741F2"/>
    <w:rsid w:val="0067421C"/>
    <w:rsid w:val="00674870"/>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38"/>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511"/>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C96"/>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AF7"/>
    <w:rsid w:val="006C7B5A"/>
    <w:rsid w:val="006D0139"/>
    <w:rsid w:val="006D0272"/>
    <w:rsid w:val="006D0AFE"/>
    <w:rsid w:val="006D14D5"/>
    <w:rsid w:val="006D17B3"/>
    <w:rsid w:val="006D2370"/>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2AF"/>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17D31"/>
    <w:rsid w:val="007204AD"/>
    <w:rsid w:val="00720FA8"/>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6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B03"/>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8DE"/>
    <w:rsid w:val="00751228"/>
    <w:rsid w:val="007516B3"/>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1DD8"/>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3A54"/>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14"/>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CF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06"/>
    <w:rsid w:val="007C774B"/>
    <w:rsid w:val="007C77A5"/>
    <w:rsid w:val="007C795B"/>
    <w:rsid w:val="007D0217"/>
    <w:rsid w:val="007D0357"/>
    <w:rsid w:val="007D04E5"/>
    <w:rsid w:val="007D071E"/>
    <w:rsid w:val="007D08CC"/>
    <w:rsid w:val="007D1448"/>
    <w:rsid w:val="007D1E22"/>
    <w:rsid w:val="007D221E"/>
    <w:rsid w:val="007D2505"/>
    <w:rsid w:val="007D261C"/>
    <w:rsid w:val="007D2635"/>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598"/>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3B"/>
    <w:rsid w:val="007E5CF3"/>
    <w:rsid w:val="007E640A"/>
    <w:rsid w:val="007E69B3"/>
    <w:rsid w:val="007E7070"/>
    <w:rsid w:val="007E7091"/>
    <w:rsid w:val="007E712E"/>
    <w:rsid w:val="007E7475"/>
    <w:rsid w:val="007E76CB"/>
    <w:rsid w:val="007E7A5E"/>
    <w:rsid w:val="007F0491"/>
    <w:rsid w:val="007F0DBD"/>
    <w:rsid w:val="007F0EAC"/>
    <w:rsid w:val="007F128D"/>
    <w:rsid w:val="007F12B6"/>
    <w:rsid w:val="007F1726"/>
    <w:rsid w:val="007F1EED"/>
    <w:rsid w:val="007F2363"/>
    <w:rsid w:val="007F2F7C"/>
    <w:rsid w:val="007F305A"/>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2E6C"/>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37BD7"/>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5E4C"/>
    <w:rsid w:val="008768D1"/>
    <w:rsid w:val="00876B4D"/>
    <w:rsid w:val="00876D3E"/>
    <w:rsid w:val="00877CF6"/>
    <w:rsid w:val="00877F18"/>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949"/>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3A2"/>
    <w:rsid w:val="008E69D3"/>
    <w:rsid w:val="008E6ACF"/>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3A56"/>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128"/>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C1B"/>
    <w:rsid w:val="00923073"/>
    <w:rsid w:val="00923202"/>
    <w:rsid w:val="009239A5"/>
    <w:rsid w:val="00923BD4"/>
    <w:rsid w:val="00924388"/>
    <w:rsid w:val="0092439E"/>
    <w:rsid w:val="0092533B"/>
    <w:rsid w:val="0092560F"/>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C54"/>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A57"/>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9F7"/>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43E"/>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016"/>
    <w:rsid w:val="009A0330"/>
    <w:rsid w:val="009A04E5"/>
    <w:rsid w:val="009A0DED"/>
    <w:rsid w:val="009A0FAB"/>
    <w:rsid w:val="009A0FBA"/>
    <w:rsid w:val="009A10CB"/>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C0587"/>
    <w:rsid w:val="009C2279"/>
    <w:rsid w:val="009C2398"/>
    <w:rsid w:val="009C273D"/>
    <w:rsid w:val="009C30B2"/>
    <w:rsid w:val="009C3688"/>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8E0"/>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81"/>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49B"/>
    <w:rsid w:val="00A13DD6"/>
    <w:rsid w:val="00A13E54"/>
    <w:rsid w:val="00A1420D"/>
    <w:rsid w:val="00A149C7"/>
    <w:rsid w:val="00A1517F"/>
    <w:rsid w:val="00A15B83"/>
    <w:rsid w:val="00A15EDE"/>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898"/>
    <w:rsid w:val="00A37E7B"/>
    <w:rsid w:val="00A404B6"/>
    <w:rsid w:val="00A40520"/>
    <w:rsid w:val="00A407D1"/>
    <w:rsid w:val="00A40888"/>
    <w:rsid w:val="00A408D4"/>
    <w:rsid w:val="00A409BA"/>
    <w:rsid w:val="00A4199F"/>
    <w:rsid w:val="00A41D3B"/>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19FF"/>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852"/>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DA3"/>
    <w:rsid w:val="00A91F23"/>
    <w:rsid w:val="00A920C7"/>
    <w:rsid w:val="00A9285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4CBA"/>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07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BBC"/>
    <w:rsid w:val="00AE27AC"/>
    <w:rsid w:val="00AE34E7"/>
    <w:rsid w:val="00AE39D2"/>
    <w:rsid w:val="00AE3A0A"/>
    <w:rsid w:val="00AE3AE5"/>
    <w:rsid w:val="00AE3B42"/>
    <w:rsid w:val="00AE3C58"/>
    <w:rsid w:val="00AE3D08"/>
    <w:rsid w:val="00AE3FA0"/>
    <w:rsid w:val="00AE40E0"/>
    <w:rsid w:val="00AE4DBA"/>
    <w:rsid w:val="00AE4F07"/>
    <w:rsid w:val="00AE5783"/>
    <w:rsid w:val="00AE5A00"/>
    <w:rsid w:val="00AE61A9"/>
    <w:rsid w:val="00AE632B"/>
    <w:rsid w:val="00AE718E"/>
    <w:rsid w:val="00AE72D9"/>
    <w:rsid w:val="00AE73AA"/>
    <w:rsid w:val="00AE7D4A"/>
    <w:rsid w:val="00AF02C8"/>
    <w:rsid w:val="00AF0C7E"/>
    <w:rsid w:val="00AF18EC"/>
    <w:rsid w:val="00AF1C5D"/>
    <w:rsid w:val="00AF2151"/>
    <w:rsid w:val="00AF256C"/>
    <w:rsid w:val="00AF29CB"/>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318"/>
    <w:rsid w:val="00B47C29"/>
    <w:rsid w:val="00B47D21"/>
    <w:rsid w:val="00B50ED3"/>
    <w:rsid w:val="00B51008"/>
    <w:rsid w:val="00B51026"/>
    <w:rsid w:val="00B51031"/>
    <w:rsid w:val="00B520CE"/>
    <w:rsid w:val="00B5286A"/>
    <w:rsid w:val="00B5295B"/>
    <w:rsid w:val="00B529EA"/>
    <w:rsid w:val="00B53275"/>
    <w:rsid w:val="00B53485"/>
    <w:rsid w:val="00B537CE"/>
    <w:rsid w:val="00B54409"/>
    <w:rsid w:val="00B54858"/>
    <w:rsid w:val="00B559EE"/>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6A7"/>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B41"/>
    <w:rsid w:val="00BA7F76"/>
    <w:rsid w:val="00BB004D"/>
    <w:rsid w:val="00BB021A"/>
    <w:rsid w:val="00BB03C1"/>
    <w:rsid w:val="00BB075C"/>
    <w:rsid w:val="00BB0A24"/>
    <w:rsid w:val="00BB0E0D"/>
    <w:rsid w:val="00BB1B63"/>
    <w:rsid w:val="00BB21B4"/>
    <w:rsid w:val="00BB2707"/>
    <w:rsid w:val="00BB2863"/>
    <w:rsid w:val="00BB2A25"/>
    <w:rsid w:val="00BB2DE4"/>
    <w:rsid w:val="00BB30F3"/>
    <w:rsid w:val="00BB312F"/>
    <w:rsid w:val="00BB31B9"/>
    <w:rsid w:val="00BB36A3"/>
    <w:rsid w:val="00BB3F79"/>
    <w:rsid w:val="00BB501C"/>
    <w:rsid w:val="00BB5B5E"/>
    <w:rsid w:val="00BB5B78"/>
    <w:rsid w:val="00BB605F"/>
    <w:rsid w:val="00BB6A13"/>
    <w:rsid w:val="00BB6BD1"/>
    <w:rsid w:val="00BB6BE1"/>
    <w:rsid w:val="00BB6E21"/>
    <w:rsid w:val="00BB7089"/>
    <w:rsid w:val="00BB7120"/>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0ED"/>
    <w:rsid w:val="00BD414C"/>
    <w:rsid w:val="00BD4345"/>
    <w:rsid w:val="00BD4842"/>
    <w:rsid w:val="00BD48AC"/>
    <w:rsid w:val="00BD4AE4"/>
    <w:rsid w:val="00BD55BA"/>
    <w:rsid w:val="00BD5762"/>
    <w:rsid w:val="00BD59CD"/>
    <w:rsid w:val="00BD5F1A"/>
    <w:rsid w:val="00BD6DFE"/>
    <w:rsid w:val="00BD71CE"/>
    <w:rsid w:val="00BD7820"/>
    <w:rsid w:val="00BE021C"/>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304"/>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09C"/>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885"/>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793"/>
    <w:rsid w:val="00C529C1"/>
    <w:rsid w:val="00C52B1A"/>
    <w:rsid w:val="00C52B72"/>
    <w:rsid w:val="00C533F0"/>
    <w:rsid w:val="00C537C2"/>
    <w:rsid w:val="00C53AD2"/>
    <w:rsid w:val="00C54412"/>
    <w:rsid w:val="00C54995"/>
    <w:rsid w:val="00C54D41"/>
    <w:rsid w:val="00C5519B"/>
    <w:rsid w:val="00C55464"/>
    <w:rsid w:val="00C5584E"/>
    <w:rsid w:val="00C55E1C"/>
    <w:rsid w:val="00C5683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18DF"/>
    <w:rsid w:val="00C728F3"/>
    <w:rsid w:val="00C72EF4"/>
    <w:rsid w:val="00C73588"/>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03F"/>
    <w:rsid w:val="00C812CF"/>
    <w:rsid w:val="00C81568"/>
    <w:rsid w:val="00C81A6E"/>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25EC"/>
    <w:rsid w:val="00CA34A7"/>
    <w:rsid w:val="00CA38D6"/>
    <w:rsid w:val="00CA39A2"/>
    <w:rsid w:val="00CA3D6A"/>
    <w:rsid w:val="00CA3DFD"/>
    <w:rsid w:val="00CA3F60"/>
    <w:rsid w:val="00CA4071"/>
    <w:rsid w:val="00CA43CA"/>
    <w:rsid w:val="00CA4E1A"/>
    <w:rsid w:val="00CA4FEB"/>
    <w:rsid w:val="00CA523A"/>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5E"/>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AA2"/>
    <w:rsid w:val="00CC7B45"/>
    <w:rsid w:val="00CD0A21"/>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5E86"/>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758"/>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6E"/>
    <w:rsid w:val="00CF350D"/>
    <w:rsid w:val="00CF3B1F"/>
    <w:rsid w:val="00CF3BF6"/>
    <w:rsid w:val="00CF3C36"/>
    <w:rsid w:val="00CF4055"/>
    <w:rsid w:val="00CF40A3"/>
    <w:rsid w:val="00CF565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3B5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14"/>
    <w:rsid w:val="00D1599C"/>
    <w:rsid w:val="00D15D68"/>
    <w:rsid w:val="00D15E83"/>
    <w:rsid w:val="00D16563"/>
    <w:rsid w:val="00D17A6A"/>
    <w:rsid w:val="00D17EB8"/>
    <w:rsid w:val="00D204F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CF"/>
    <w:rsid w:val="00D266F9"/>
    <w:rsid w:val="00D27938"/>
    <w:rsid w:val="00D27C22"/>
    <w:rsid w:val="00D27DA6"/>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8D"/>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294"/>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6E41"/>
    <w:rsid w:val="00D576CA"/>
    <w:rsid w:val="00D5779C"/>
    <w:rsid w:val="00D57AE8"/>
    <w:rsid w:val="00D57FA3"/>
    <w:rsid w:val="00D60EDF"/>
    <w:rsid w:val="00D61084"/>
    <w:rsid w:val="00D61AF5"/>
    <w:rsid w:val="00D61DC8"/>
    <w:rsid w:val="00D62095"/>
    <w:rsid w:val="00D62346"/>
    <w:rsid w:val="00D62F5B"/>
    <w:rsid w:val="00D632AE"/>
    <w:rsid w:val="00D63D1A"/>
    <w:rsid w:val="00D64575"/>
    <w:rsid w:val="00D646B2"/>
    <w:rsid w:val="00D649BC"/>
    <w:rsid w:val="00D64B69"/>
    <w:rsid w:val="00D64D56"/>
    <w:rsid w:val="00D652B5"/>
    <w:rsid w:val="00D655BA"/>
    <w:rsid w:val="00D6561C"/>
    <w:rsid w:val="00D656F8"/>
    <w:rsid w:val="00D65966"/>
    <w:rsid w:val="00D659A8"/>
    <w:rsid w:val="00D65B2F"/>
    <w:rsid w:val="00D65D2C"/>
    <w:rsid w:val="00D663DA"/>
    <w:rsid w:val="00D6767A"/>
    <w:rsid w:val="00D67C89"/>
    <w:rsid w:val="00D7089D"/>
    <w:rsid w:val="00D708B0"/>
    <w:rsid w:val="00D72120"/>
    <w:rsid w:val="00D721C5"/>
    <w:rsid w:val="00D722DE"/>
    <w:rsid w:val="00D7235C"/>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E57"/>
    <w:rsid w:val="00D977E9"/>
    <w:rsid w:val="00D978BE"/>
    <w:rsid w:val="00D97B8A"/>
    <w:rsid w:val="00DA054D"/>
    <w:rsid w:val="00DA0553"/>
    <w:rsid w:val="00DA146F"/>
    <w:rsid w:val="00DA1E71"/>
    <w:rsid w:val="00DA2A4E"/>
    <w:rsid w:val="00DA2D31"/>
    <w:rsid w:val="00DA2DB7"/>
    <w:rsid w:val="00DA305E"/>
    <w:rsid w:val="00DA37FF"/>
    <w:rsid w:val="00DA3935"/>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1BA9"/>
    <w:rsid w:val="00DB279E"/>
    <w:rsid w:val="00DB27F9"/>
    <w:rsid w:val="00DB35FF"/>
    <w:rsid w:val="00DB377D"/>
    <w:rsid w:val="00DB3BD8"/>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243"/>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E79F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CA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275"/>
    <w:rsid w:val="00E24C78"/>
    <w:rsid w:val="00E25823"/>
    <w:rsid w:val="00E25B88"/>
    <w:rsid w:val="00E25DE2"/>
    <w:rsid w:val="00E2609D"/>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A69"/>
    <w:rsid w:val="00E35C31"/>
    <w:rsid w:val="00E35F33"/>
    <w:rsid w:val="00E360D6"/>
    <w:rsid w:val="00E364CC"/>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B11"/>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59E"/>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B31"/>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16B"/>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7C"/>
    <w:rsid w:val="00EE1590"/>
    <w:rsid w:val="00EE1713"/>
    <w:rsid w:val="00EE1BE7"/>
    <w:rsid w:val="00EE1F98"/>
    <w:rsid w:val="00EE28F5"/>
    <w:rsid w:val="00EE3017"/>
    <w:rsid w:val="00EE30E0"/>
    <w:rsid w:val="00EE3584"/>
    <w:rsid w:val="00EE3A3C"/>
    <w:rsid w:val="00EE5452"/>
    <w:rsid w:val="00EE55DE"/>
    <w:rsid w:val="00EE7312"/>
    <w:rsid w:val="00EE772D"/>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5"/>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93E"/>
    <w:rsid w:val="00F16A6F"/>
    <w:rsid w:val="00F16F27"/>
    <w:rsid w:val="00F1700D"/>
    <w:rsid w:val="00F1733E"/>
    <w:rsid w:val="00F1793D"/>
    <w:rsid w:val="00F20966"/>
    <w:rsid w:val="00F209B7"/>
    <w:rsid w:val="00F2172E"/>
    <w:rsid w:val="00F21C5E"/>
    <w:rsid w:val="00F21FBC"/>
    <w:rsid w:val="00F22090"/>
    <w:rsid w:val="00F22875"/>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88"/>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6"/>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D7"/>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5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0AC0"/>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1DA"/>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5FE"/>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purl.org/dc/elements/1.1/"/>
    <ds:schemaRef ds:uri="http://purl.org/dc/terms/"/>
    <ds:schemaRef ds:uri="e32f50e1-6846-4d7d-ad60-ccd6877e6c5e"/>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sharepoint/v4"/>
    <ds:schemaRef ds:uri="23a22248-acb0-4303-bd1b-c36b2527d0a2"/>
    <ds:schemaRef ds:uri="5a888943-97ca-4c93-b605-714bb5e9e285"/>
    <ds:schemaRef ds:uri="http://www.w3.org/XML/1998/namespac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751</TotalTime>
  <Pages>5</Pages>
  <Words>2373</Words>
  <Characters>13385</Characters>
  <Application>Microsoft Office Word</Application>
  <DocSecurity>0</DocSecurity>
  <Lines>209</Lines>
  <Paragraphs>87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Martino Freda</cp:lastModifiedBy>
  <cp:revision>281</cp:revision>
  <cp:lastPrinted>2015-11-06T16:56:00Z</cp:lastPrinted>
  <dcterms:created xsi:type="dcterms:W3CDTF">2026-01-19T19:31:00Z</dcterms:created>
  <dcterms:modified xsi:type="dcterms:W3CDTF">2026-01-30T00:01:00Z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